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5F" w:rsidRPr="003C1AC3" w:rsidRDefault="000937C6">
      <w:pPr>
        <w:pStyle w:val="ConsPlusNormal"/>
        <w:jc w:val="right"/>
        <w:outlineLvl w:val="1"/>
        <w:rPr>
          <w:szCs w:val="28"/>
        </w:rPr>
      </w:pPr>
      <w:r w:rsidRPr="003C1AC3">
        <w:rPr>
          <w:szCs w:val="28"/>
        </w:rPr>
        <w:t>Приложение № 5</w:t>
      </w:r>
    </w:p>
    <w:p w:rsidR="00120B5F" w:rsidRPr="003C1AC3" w:rsidRDefault="000937C6">
      <w:pPr>
        <w:pStyle w:val="ConsPlusNormal"/>
        <w:ind w:left="4678" w:firstLine="851"/>
        <w:jc w:val="right"/>
        <w:outlineLvl w:val="1"/>
        <w:rPr>
          <w:szCs w:val="28"/>
        </w:rPr>
      </w:pPr>
      <w:r w:rsidRPr="003C1AC3">
        <w:rPr>
          <w:szCs w:val="28"/>
        </w:rPr>
        <w:t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</w:t>
      </w:r>
      <w:r w:rsidR="00920476" w:rsidRPr="003C1AC3">
        <w:rPr>
          <w:szCs w:val="28"/>
        </w:rPr>
        <w:t>4</w:t>
      </w:r>
      <w:r w:rsidRPr="003C1AC3">
        <w:rPr>
          <w:szCs w:val="28"/>
        </w:rPr>
        <w:t xml:space="preserve"> год и на плановый период </w:t>
      </w:r>
      <w:r w:rsidR="00920476" w:rsidRPr="003C1AC3">
        <w:rPr>
          <w:szCs w:val="28"/>
        </w:rPr>
        <w:t>до 2028 года включительно</w:t>
      </w:r>
    </w:p>
    <w:p w:rsidR="00120B5F" w:rsidRDefault="00120B5F">
      <w:pPr>
        <w:pStyle w:val="ConsPlusNormal"/>
        <w:jc w:val="both"/>
        <w:rPr>
          <w:szCs w:val="28"/>
        </w:rPr>
      </w:pPr>
    </w:p>
    <w:p w:rsidR="00BD32C8" w:rsidRPr="003C1AC3" w:rsidRDefault="00BD32C8" w:rsidP="00BD32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7"/>
      <w:bookmarkEnd w:id="0"/>
      <w:r w:rsidRPr="003C1AC3">
        <w:rPr>
          <w:rFonts w:ascii="Times New Roman" w:hAnsi="Times New Roman" w:cs="Times New Roman"/>
          <w:sz w:val="28"/>
          <w:szCs w:val="28"/>
        </w:rPr>
        <w:t>Состав обосновывающей документации по мероприятиям,</w:t>
      </w:r>
    </w:p>
    <w:p w:rsidR="00BD32C8" w:rsidRPr="003C1AC3" w:rsidRDefault="004B7F97" w:rsidP="00BD32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C1AC3">
        <w:rPr>
          <w:rFonts w:ascii="Times New Roman" w:hAnsi="Times New Roman" w:cs="Times New Roman"/>
          <w:sz w:val="28"/>
          <w:szCs w:val="28"/>
        </w:rPr>
        <w:t>заявляемых</w:t>
      </w:r>
      <w:proofErr w:type="gramEnd"/>
      <w:r w:rsidR="00BD32C8" w:rsidRPr="003C1AC3">
        <w:rPr>
          <w:rFonts w:ascii="Times New Roman" w:hAnsi="Times New Roman" w:cs="Times New Roman"/>
          <w:sz w:val="28"/>
          <w:szCs w:val="28"/>
        </w:rPr>
        <w:t xml:space="preserve"> участниками бюджетного процесса Российской Федерации</w:t>
      </w:r>
    </w:p>
    <w:p w:rsidR="00BD32C8" w:rsidRPr="003C1AC3" w:rsidRDefault="00BD32C8" w:rsidP="00BD32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C1AC3">
        <w:rPr>
          <w:rFonts w:ascii="Times New Roman" w:hAnsi="Times New Roman" w:cs="Times New Roman"/>
          <w:sz w:val="28"/>
          <w:szCs w:val="28"/>
        </w:rPr>
        <w:t>на получение субсидии из федерального бюджета для строительства (реконструкции) объектов государственной собственности</w:t>
      </w:r>
    </w:p>
    <w:p w:rsidR="00BD32C8" w:rsidRPr="003C1AC3" w:rsidRDefault="00BD32C8" w:rsidP="00BD32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C1AC3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</w:p>
    <w:p w:rsidR="00BD32C8" w:rsidRPr="003C1AC3" w:rsidRDefault="00BD32C8" w:rsidP="00BD32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C1AC3">
        <w:rPr>
          <w:rFonts w:ascii="Times New Roman" w:hAnsi="Times New Roman" w:cs="Times New Roman"/>
          <w:sz w:val="28"/>
          <w:szCs w:val="28"/>
        </w:rPr>
        <w:t>на 202</w:t>
      </w:r>
      <w:r w:rsidR="00920476" w:rsidRPr="003C1AC3">
        <w:rPr>
          <w:rFonts w:ascii="Times New Roman" w:hAnsi="Times New Roman" w:cs="Times New Roman"/>
          <w:sz w:val="28"/>
          <w:szCs w:val="28"/>
        </w:rPr>
        <w:t>4</w:t>
      </w:r>
      <w:r w:rsidRPr="003C1AC3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920476" w:rsidRPr="003C1AC3">
        <w:rPr>
          <w:rFonts w:ascii="Times New Roman" w:hAnsi="Times New Roman" w:cs="Times New Roman"/>
          <w:sz w:val="28"/>
          <w:szCs w:val="28"/>
        </w:rPr>
        <w:t>до 2028 года включительно</w:t>
      </w:r>
      <w:r w:rsidRPr="003C1AC3">
        <w:rPr>
          <w:rFonts w:ascii="Times New Roman" w:hAnsi="Times New Roman" w:cs="Times New Roman"/>
          <w:sz w:val="28"/>
          <w:szCs w:val="28"/>
        </w:rPr>
        <w:t>.</w:t>
      </w:r>
    </w:p>
    <w:p w:rsidR="00120B5F" w:rsidRPr="003C1AC3" w:rsidRDefault="00120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55"/>
        <w:gridCol w:w="1809"/>
        <w:gridCol w:w="2306"/>
      </w:tblGrid>
      <w:tr w:rsidR="00120B5F" w:rsidRPr="003C1AC3">
        <w:trPr>
          <w:tblHeader/>
          <w:jc w:val="center"/>
        </w:trPr>
        <w:tc>
          <w:tcPr>
            <w:tcW w:w="6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Название документа</w:t>
            </w:r>
          </w:p>
          <w:p w:rsidR="00120B5F" w:rsidRPr="003C1AC3" w:rsidRDefault="00120B5F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Формат представления материалов</w:t>
            </w:r>
          </w:p>
        </w:tc>
      </w:tr>
      <w:tr w:rsidR="00120B5F" w:rsidRPr="003C1AC3">
        <w:trPr>
          <w:tblHeader/>
          <w:jc w:val="center"/>
        </w:trPr>
        <w:tc>
          <w:tcPr>
            <w:tcW w:w="6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rPr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На бумажном носителе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widowControl w:val="0"/>
              <w:ind w:firstLine="0"/>
              <w:jc w:val="center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Посредством ввода данных в ИС «Планирование»</w:t>
            </w:r>
          </w:p>
        </w:tc>
      </w:tr>
      <w:tr w:rsidR="00120B5F" w:rsidRPr="003C1AC3">
        <w:trPr>
          <w:jc w:val="center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 w:rsidRPr="003C1AC3">
              <w:rPr>
                <w:b/>
                <w:bCs/>
                <w:szCs w:val="28"/>
                <w:lang w:eastAsia="ru-RU"/>
              </w:rPr>
              <w:t>Для всех мероприятий</w:t>
            </w:r>
            <w:bookmarkStart w:id="1" w:name="_Hlk71245753"/>
            <w:bookmarkEnd w:id="1"/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bCs/>
                <w:szCs w:val="28"/>
                <w:lang w:eastAsia="ru-RU"/>
              </w:rPr>
            </w:pPr>
            <w:r w:rsidRPr="003C1AC3">
              <w:rPr>
                <w:bCs/>
                <w:szCs w:val="28"/>
                <w:lang w:eastAsia="ru-RU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8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Заявка на предоставление субсидии по форме приложения № 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  <w:lang w:eastAsia="ru-RU"/>
              </w:rPr>
              <w:t xml:space="preserve">Бюджетная заявка на ассигнования за счет средств федерального бюджета (согласно приложению </w:t>
            </w:r>
            <w:r w:rsidRPr="003C1AC3">
              <w:rPr>
                <w:rFonts w:ascii="Courier New" w:hAnsi="Courier New"/>
                <w:szCs w:val="28"/>
                <w:lang w:eastAsia="ru-RU"/>
              </w:rPr>
              <w:t>9</w:t>
            </w:r>
            <w:r w:rsidRPr="003C1AC3">
              <w:rPr>
                <w:szCs w:val="28"/>
                <w:lang w:eastAsia="ru-RU"/>
              </w:rPr>
              <w:t>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left="720" w:firstLine="0"/>
              <w:jc w:val="center"/>
              <w:rPr>
                <w:b/>
                <w:bCs/>
                <w:szCs w:val="28"/>
                <w:lang w:eastAsia="ru-RU"/>
              </w:rPr>
            </w:pPr>
            <w:r w:rsidRPr="003C1AC3">
              <w:rPr>
                <w:b/>
                <w:bCs/>
                <w:szCs w:val="28"/>
                <w:lang w:eastAsia="ru-RU"/>
              </w:rPr>
              <w:t>Для вновь начинаемых строительством объектов</w:t>
            </w: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Сведения о пересечении водным объектом административных границ субъекта</w:t>
            </w:r>
            <w:r w:rsidR="003C1AC3" w:rsidRPr="003C1AC3">
              <w:rPr>
                <w:szCs w:val="28"/>
                <w:lang w:eastAsia="ru-RU"/>
              </w:rPr>
              <w:t xml:space="preserve"> </w:t>
            </w:r>
            <w:r w:rsidRPr="003C1AC3">
              <w:rPr>
                <w:szCs w:val="28"/>
                <w:lang w:eastAsia="ru-RU"/>
              </w:rPr>
              <w:t>(</w:t>
            </w:r>
            <w:proofErr w:type="spellStart"/>
            <w:r w:rsidRPr="003C1AC3">
              <w:rPr>
                <w:szCs w:val="28"/>
                <w:lang w:eastAsia="ru-RU"/>
              </w:rPr>
              <w:t>ов</w:t>
            </w:r>
            <w:proofErr w:type="spellEnd"/>
            <w:r w:rsidRPr="003C1AC3">
              <w:rPr>
                <w:szCs w:val="28"/>
                <w:lang w:eastAsia="ru-RU"/>
              </w:rPr>
              <w:t>)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  <w:lang w:eastAsia="ru-RU"/>
              </w:rPr>
              <w:t>Акт обследования состояния водного объекта с прилагаемыми фотоматериалами</w:t>
            </w:r>
            <w:r w:rsidR="003C1AC3" w:rsidRPr="003C1AC3">
              <w:rPr>
                <w:szCs w:val="28"/>
                <w:lang w:eastAsia="ru-RU"/>
              </w:rPr>
              <w:t xml:space="preserve"> </w:t>
            </w:r>
            <w:r w:rsidRPr="003C1AC3">
              <w:rPr>
                <w:szCs w:val="28"/>
                <w:lang w:eastAsia="ru-RU"/>
              </w:rPr>
              <w:t xml:space="preserve">и данными о переработке берегов (в случае строительства </w:t>
            </w:r>
            <w:proofErr w:type="spellStart"/>
            <w:r w:rsidRPr="003C1AC3">
              <w:rPr>
                <w:szCs w:val="28"/>
                <w:lang w:eastAsia="ru-RU"/>
              </w:rPr>
              <w:t>берегоукреплений</w:t>
            </w:r>
            <w:proofErr w:type="spellEnd"/>
            <w:r w:rsidRPr="003C1AC3">
              <w:rPr>
                <w:szCs w:val="28"/>
                <w:lang w:eastAsia="ru-RU"/>
              </w:rPr>
              <w:t>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 xml:space="preserve">Сведения БВУ о наличии заявляемого мероприятия в </w:t>
            </w:r>
            <w:proofErr w:type="gramStart"/>
            <w:r w:rsidRPr="003C1AC3">
              <w:rPr>
                <w:szCs w:val="28"/>
                <w:lang w:eastAsia="ru-RU"/>
              </w:rPr>
              <w:t>соответствующей</w:t>
            </w:r>
            <w:proofErr w:type="gramEnd"/>
            <w:r w:rsidRPr="003C1AC3">
              <w:rPr>
                <w:szCs w:val="28"/>
                <w:lang w:eastAsia="ru-RU"/>
              </w:rPr>
              <w:t xml:space="preserve"> СКИОВО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  <w:lang w:eastAsia="ru-RU"/>
              </w:rPr>
              <w:t xml:space="preserve">Подробная пояснительная записка по обоснованию заявляемого мероприятия, подписанная руководителем федерального государственного бюджетного учреждения, подведомственного </w:t>
            </w:r>
            <w:proofErr w:type="spellStart"/>
            <w:r w:rsidRPr="003C1AC3">
              <w:rPr>
                <w:szCs w:val="28"/>
                <w:lang w:eastAsia="ru-RU"/>
              </w:rPr>
              <w:lastRenderedPageBreak/>
              <w:t>Росводресурсам</w:t>
            </w:r>
            <w:proofErr w:type="spellEnd"/>
            <w:r w:rsidR="00FA7581" w:rsidRPr="003C1AC3">
              <w:rPr>
                <w:szCs w:val="28"/>
                <w:lang w:eastAsia="ru-RU"/>
              </w:rPr>
              <w:t xml:space="preserve"> или лицом им уполномоченным</w:t>
            </w:r>
            <w:r w:rsidRPr="003C1AC3">
              <w:rPr>
                <w:szCs w:val="28"/>
                <w:lang w:eastAsia="ru-RU"/>
              </w:rPr>
              <w:t>, содержащая обоснование необходимости</w:t>
            </w:r>
            <w:r w:rsidR="003C1AC3" w:rsidRPr="003C1AC3">
              <w:rPr>
                <w:szCs w:val="28"/>
                <w:lang w:eastAsia="ru-RU"/>
              </w:rPr>
              <w:t xml:space="preserve"> </w:t>
            </w:r>
            <w:r w:rsidRPr="003C1AC3">
              <w:rPr>
                <w:szCs w:val="28"/>
                <w:lang w:eastAsia="ru-RU"/>
              </w:rPr>
              <w:t>предлагаемого мероприятия, в том числе: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наименование мероприятия;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местоположение гидротехнического сооружения с приложением картографического материала,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основные показатели ГТС (мощность/геометрические показатели, материалы конструкций)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информация о предполагаемом собственнике гидротехнического сооружения;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наличие разработанной проектно-сметной документации и предусмотренных законодательством Российской Федерации  экспертных заключений;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 xml:space="preserve">- </w:t>
            </w:r>
            <w:proofErr w:type="spellStart"/>
            <w:r w:rsidRPr="003C1AC3">
              <w:rPr>
                <w:szCs w:val="28"/>
                <w:lang w:eastAsia="ru-RU"/>
              </w:rPr>
              <w:t>этапность</w:t>
            </w:r>
            <w:proofErr w:type="spellEnd"/>
            <w:r w:rsidRPr="003C1AC3">
              <w:rPr>
                <w:szCs w:val="28"/>
                <w:lang w:eastAsia="ru-RU"/>
              </w:rPr>
              <w:t xml:space="preserve"> строительства/реконструкции согласно данным проекта, подтвержденным государственной экспертизой;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 xml:space="preserve">- продолжительность строительства согласно </w:t>
            </w:r>
            <w:proofErr w:type="gramStart"/>
            <w:r w:rsidRPr="003C1AC3">
              <w:rPr>
                <w:szCs w:val="28"/>
                <w:lang w:eastAsia="ru-RU"/>
              </w:rPr>
              <w:t>ПОС</w:t>
            </w:r>
            <w:proofErr w:type="gramEnd"/>
            <w:r w:rsidRPr="003C1AC3">
              <w:rPr>
                <w:szCs w:val="28"/>
                <w:lang w:eastAsia="ru-RU"/>
              </w:rPr>
              <w:t>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стоимостные показатели реализации мероприятия, объёмы финансирования по годам и по источникам,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информация о предотвращённом в результате реализации мероприятия ущербе, количество защищаемого населения, объектов экономики, информация о достигаемом показателе экономической эффективности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tabs>
                <w:tab w:val="left" w:pos="708"/>
              </w:tabs>
              <w:ind w:firstLine="0"/>
              <w:jc w:val="left"/>
              <w:rPr>
                <w:rFonts w:eastAsia="Calibri"/>
                <w:szCs w:val="28"/>
                <w:lang w:eastAsia="ru-RU"/>
              </w:rPr>
            </w:pPr>
            <w:r w:rsidRPr="003C1AC3">
              <w:rPr>
                <w:rFonts w:eastAsia="Calibri"/>
                <w:szCs w:val="28"/>
                <w:lang w:eastAsia="ru-RU"/>
              </w:rPr>
              <w:lastRenderedPageBreak/>
              <w:t>Справка МЧС России, распоряжение глав администраций о фактах введения режима чрезвычайной ситуации. Справка МЧС России о затоплениях, разрушениях и ущербах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Судебное решение о необходимости реализации заявляемого объекта капитального строительства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9"/>
              </w:numPr>
              <w:jc w:val="left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Задание на проектирование объекта капитального строительства в соответствии с приказом Минстроя России от 01.03.2018 № 125/</w:t>
            </w:r>
            <w:proofErr w:type="spellStart"/>
            <w:proofErr w:type="gramStart"/>
            <w:r w:rsidRPr="003C1AC3">
              <w:rPr>
                <w:szCs w:val="28"/>
              </w:rPr>
              <w:t>пр</w:t>
            </w:r>
            <w:proofErr w:type="spellEnd"/>
            <w:proofErr w:type="gramEnd"/>
            <w:r w:rsidR="00324C5D" w:rsidRPr="003C1AC3">
              <w:rPr>
                <w:szCs w:val="28"/>
              </w:rPr>
              <w:t>,</w:t>
            </w:r>
            <w:r w:rsidRPr="003C1AC3">
              <w:rPr>
                <w:szCs w:val="28"/>
              </w:rPr>
              <w:t xml:space="preserve"> согласован</w:t>
            </w:r>
            <w:r w:rsidR="00324C5D" w:rsidRPr="003C1AC3">
              <w:rPr>
                <w:szCs w:val="28"/>
              </w:rPr>
              <w:t>ное</w:t>
            </w:r>
            <w:r w:rsidRPr="003C1AC3">
              <w:rPr>
                <w:szCs w:val="28"/>
              </w:rPr>
              <w:t xml:space="preserve"> с территориальным органом </w:t>
            </w:r>
            <w:proofErr w:type="spellStart"/>
            <w:r w:rsidRPr="003C1AC3">
              <w:rPr>
                <w:szCs w:val="28"/>
              </w:rPr>
              <w:t>Росводресурсов</w:t>
            </w:r>
            <w:proofErr w:type="spell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7"/>
              </w:numPr>
              <w:jc w:val="left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FA7581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7581" w:rsidRPr="003C1AC3" w:rsidRDefault="00EE0447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Сводный сметный расчет с локальными сметными расчетами </w:t>
            </w:r>
            <w:r w:rsidR="00FA7581" w:rsidRPr="003C1AC3">
              <w:rPr>
                <w:szCs w:val="28"/>
              </w:rPr>
              <w:t xml:space="preserve">на проектные </w:t>
            </w:r>
            <w:r w:rsidRPr="003C1AC3">
              <w:rPr>
                <w:szCs w:val="28"/>
              </w:rPr>
              <w:t xml:space="preserve">и изыскательские </w:t>
            </w:r>
            <w:r w:rsidR="00FA7581" w:rsidRPr="003C1AC3">
              <w:rPr>
                <w:szCs w:val="28"/>
              </w:rPr>
              <w:t xml:space="preserve">работы, в том числе на </w:t>
            </w:r>
            <w:r w:rsidRPr="003C1AC3">
              <w:rPr>
                <w:szCs w:val="28"/>
              </w:rPr>
              <w:t>государственную экспертизу проектной документации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7581" w:rsidRPr="003C1AC3" w:rsidRDefault="00FA7581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7581" w:rsidRPr="003C1AC3" w:rsidRDefault="00FA7581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476" w:rsidRPr="003C1AC3" w:rsidRDefault="0092047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Утвержденный ССРС</w:t>
            </w:r>
          </w:p>
          <w:p w:rsidR="00306672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lastRenderedPageBreak/>
              <w:t>Сметно-финансовый расчет по форме приложения 10</w:t>
            </w:r>
          </w:p>
          <w:p w:rsidR="00120B5F" w:rsidRPr="003C1AC3" w:rsidRDefault="00306672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Расчет НМЦК согласно приказу Минстроя №841 от 23.12.2019г.</w:t>
            </w:r>
            <w:r w:rsidR="000937C6" w:rsidRPr="003C1AC3">
              <w:rPr>
                <w:szCs w:val="28"/>
              </w:rPr>
              <w:t xml:space="preserve"> </w:t>
            </w:r>
          </w:p>
          <w:p w:rsidR="00920476" w:rsidRPr="003C1AC3" w:rsidRDefault="0092047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Сводка затрат по форме приложения 11а(1), 11б(1)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lastRenderedPageBreak/>
              <w:t>Паспорт инвестиционного проекта, заполненный по форме, утвержденной Министерством экономического развития РФ (приказ от 02.02.2014№</w:t>
            </w:r>
            <w:r w:rsidR="007F71FC" w:rsidRPr="003C1AC3">
              <w:rPr>
                <w:szCs w:val="28"/>
              </w:rPr>
              <w:t> </w:t>
            </w:r>
            <w:r w:rsidRPr="003C1AC3">
              <w:rPr>
                <w:szCs w:val="28"/>
              </w:rPr>
              <w:t>199).</w:t>
            </w:r>
          </w:p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proofErr w:type="gramStart"/>
            <w:r w:rsidRPr="003C1AC3">
              <w:rPr>
                <w:szCs w:val="28"/>
              </w:rPr>
              <w:t>П.9 формы паспорта «Сметная стоимость объекта капитального строительства» заполняется в ценах периода представления паспорта инвестиционного проекта, а также рассчитанная в ценах соответствующих лет, в т.ч. затраты на ПИР, проведение технологического и ценового аудита в ценах периода представления паспорта инвестиционного проекта, а также рассчитанная в ценах соответствующих лет (для объектов, планируемых к получению субсидии на разработку ПСД)</w:t>
            </w:r>
            <w:r w:rsidR="00AC4D32" w:rsidRPr="003C1AC3">
              <w:rPr>
                <w:szCs w:val="28"/>
              </w:rPr>
              <w:t>.</w:t>
            </w:r>
            <w:proofErr w:type="gramEnd"/>
          </w:p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П.12 формы должен содержать основные технические параметры объекта капитального строительства, в том числе мощность.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tabs>
                <w:tab w:val="left" w:pos="142"/>
              </w:tabs>
              <w:ind w:firstLine="142"/>
              <w:jc w:val="left"/>
              <w:rPr>
                <w:rFonts w:eastAsia="Calibri"/>
                <w:szCs w:val="28"/>
                <w:lang w:eastAsia="ru-RU"/>
              </w:rPr>
            </w:pPr>
            <w:r w:rsidRPr="003C1AC3">
              <w:rPr>
                <w:rFonts w:eastAsia="Calibri"/>
                <w:szCs w:val="28"/>
                <w:lang w:eastAsia="ru-RU"/>
              </w:rPr>
              <w:t>Расчеты экономической эффективности мероприятия, вероятного предотвращаемого экономического ущерба (экономический эффект), сведения об ожидаемых результатах проводимых мероприятий в натуральных показателях, их технической и экономической эффективности и социальной значимости (Методика ВИЭМС).</w:t>
            </w:r>
          </w:p>
          <w:p w:rsidR="00120B5F" w:rsidRPr="003C1AC3" w:rsidRDefault="000937C6">
            <w:pPr>
              <w:pStyle w:val="Standard"/>
              <w:tabs>
                <w:tab w:val="left" w:pos="142"/>
                <w:tab w:val="left" w:pos="179"/>
              </w:tabs>
              <w:ind w:firstLine="142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Расчет ущерба должен выполняться по среднемноголетнему значению ущерба.</w:t>
            </w:r>
          </w:p>
          <w:p w:rsidR="00120B5F" w:rsidRPr="003C1AC3" w:rsidRDefault="000937C6">
            <w:pPr>
              <w:pStyle w:val="Standard"/>
              <w:tabs>
                <w:tab w:val="left" w:pos="142"/>
                <w:tab w:val="left" w:pos="179"/>
              </w:tabs>
              <w:ind w:firstLine="142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- Расчеты размера предотвращаемого ущерба, должны быть выполнены на основе фактических данных о нанесенных ущербах от паводков, с привязкой к их обеспеченности, на территориях, расположенных в зоне влияния участка соответствующего водного объекта, на котором планируется осуществить мероприятие.</w:t>
            </w:r>
          </w:p>
          <w:p w:rsidR="00120B5F" w:rsidRPr="003C1AC3" w:rsidRDefault="000937C6">
            <w:pPr>
              <w:pStyle w:val="Standard"/>
              <w:tabs>
                <w:tab w:val="left" w:pos="142"/>
                <w:tab w:val="left" w:pos="179"/>
              </w:tabs>
              <w:ind w:firstLine="142"/>
              <w:jc w:val="left"/>
              <w:rPr>
                <w:szCs w:val="28"/>
              </w:rPr>
            </w:pPr>
            <w:proofErr w:type="gramStart"/>
            <w:r w:rsidRPr="003C1AC3">
              <w:rPr>
                <w:szCs w:val="28"/>
              </w:rPr>
              <w:t>- При недостаточности фактических данных расчеты размера предотвращаемого ущерба следует выполнять с использованием картографических материалов с нанесенными зонами подтопления и затопления расчетных обеспеченностей, установленных в соответствии с Правилами определения границ зон затопления, утвержденными постановлением Правительства Российской Федерации от 18 апреля 2014 г. № 360, с наложением на них кадастровых сведений об объектах, подверженных негативному воздействию вод.</w:t>
            </w:r>
            <w:proofErr w:type="gramEnd"/>
          </w:p>
          <w:p w:rsidR="00120B5F" w:rsidRPr="003C1AC3" w:rsidRDefault="000937C6">
            <w:pPr>
              <w:pStyle w:val="Standard"/>
              <w:tabs>
                <w:tab w:val="left" w:pos="142"/>
                <w:tab w:val="left" w:pos="179"/>
              </w:tabs>
              <w:ind w:firstLine="142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- Расчет предотвращаемого ущерба от затоплений и подтоплений необходимо определять для каждого объекта (группы объектов) с учетом расположения (зоны затопления) и прогнозной продолжительности затопления. Среднемноголетний предотвращаемый ущерб для расчетного 100-летнего периода следует определять делением суммы ущербов за этот период, с учетом их вероятностей, на 100.</w:t>
            </w:r>
          </w:p>
          <w:p w:rsidR="00120B5F" w:rsidRPr="003C1AC3" w:rsidRDefault="000937C6">
            <w:pPr>
              <w:pStyle w:val="Standard"/>
              <w:tabs>
                <w:tab w:val="left" w:pos="142"/>
              </w:tabs>
              <w:ind w:firstLine="142"/>
              <w:jc w:val="left"/>
              <w:rPr>
                <w:rFonts w:eastAsia="Calibri"/>
                <w:szCs w:val="28"/>
                <w:lang w:eastAsia="ru-RU"/>
              </w:rPr>
            </w:pPr>
            <w:r w:rsidRPr="003C1AC3">
              <w:rPr>
                <w:rFonts w:eastAsia="Calibri"/>
                <w:szCs w:val="28"/>
                <w:lang w:eastAsia="ru-RU"/>
              </w:rPr>
              <w:t>- Расчет должен содержать срок окупаемости капвложений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Копия документа о делегировании организации полномочий по выполнению функции заказчика (застройщика) (по объектам капитального строительства, </w:t>
            </w:r>
            <w:proofErr w:type="spellStart"/>
            <w:r w:rsidRPr="003C1AC3">
              <w:rPr>
                <w:szCs w:val="28"/>
              </w:rPr>
              <w:t>софинансирование</w:t>
            </w:r>
            <w:proofErr w:type="spellEnd"/>
            <w:r w:rsidRPr="003C1AC3">
              <w:rPr>
                <w:szCs w:val="28"/>
              </w:rPr>
              <w:t xml:space="preserve"> которых осуществляется за счет средств федерального бюджета)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Выписка из ЕГРПО (ЕГРЮЛ) о регистрации предприятия (юридического лица), выполняющего функции заказчика (застройщика)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Копия свидетельства о государственной регистрации предприятия в соответствии с законодательством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Копия свидетельства </w:t>
            </w:r>
            <w:proofErr w:type="gramStart"/>
            <w:r w:rsidRPr="003C1AC3">
              <w:rPr>
                <w:szCs w:val="28"/>
              </w:rPr>
              <w:t>о постановке на учет в налоговом органе юридического лица в соответствии с законодательством</w:t>
            </w:r>
            <w:proofErr w:type="gramEnd"/>
            <w:r w:rsidRPr="003C1AC3">
              <w:rPr>
                <w:szCs w:val="28"/>
              </w:rPr>
              <w:t xml:space="preserve">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Копия решения о предоставлении земельного участка под строительство в случае отсутствия правоустанавливающих документов на земельный участок (предварительное согласование, резервирование земельного участка)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920476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476" w:rsidRPr="003C1AC3" w:rsidRDefault="0092047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Правоустанавливающие  документы на земельный участок для добычи нерудных материалов, используемых на строительство или гарантийные обязательства о наличии нерудных материалов соответствующего качества и необходимого объема в карьерах, предусмотренных проектной документацией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476" w:rsidRPr="003C1AC3" w:rsidRDefault="00920476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476" w:rsidRPr="003C1AC3" w:rsidRDefault="00920476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C531DF" w:rsidRPr="003C1AC3" w:rsidTr="006F1F6A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1DF" w:rsidRPr="003C1AC3" w:rsidRDefault="00C531DF" w:rsidP="006F1F6A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bCs/>
                <w:szCs w:val="28"/>
              </w:rPr>
              <w:t xml:space="preserve">Выписка из Единого государственного реестра недвижимости на земельный участок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1DF" w:rsidRPr="003C1AC3" w:rsidRDefault="00C531DF" w:rsidP="006F1F6A">
            <w:pPr>
              <w:pStyle w:val="ConsPlusNormal"/>
              <w:numPr>
                <w:ilvl w:val="0"/>
                <w:numId w:val="4"/>
              </w:numPr>
              <w:jc w:val="center"/>
              <w:rPr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1DF" w:rsidRPr="003C1AC3" w:rsidRDefault="00C531DF" w:rsidP="006F1F6A">
            <w:pPr>
              <w:pStyle w:val="ConsPlusNormal"/>
              <w:numPr>
                <w:ilvl w:val="0"/>
                <w:numId w:val="4"/>
              </w:numPr>
              <w:jc w:val="center"/>
              <w:rPr>
                <w:szCs w:val="28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Выписки из </w:t>
            </w:r>
            <w:r w:rsidRPr="003C1AC3">
              <w:rPr>
                <w:bCs/>
                <w:szCs w:val="28"/>
              </w:rPr>
              <w:t>Единого государственного реестра недвижимости о характеристиках объекта недвижимости, а также о зарегистрированных правах на объект недвижимости для объектов реконструкции (приказ Минэкономразвития России от 25.12.2015 № 975</w:t>
            </w:r>
            <w:r w:rsidR="000472AA" w:rsidRPr="003C1AC3">
              <w:rPr>
                <w:bCs/>
                <w:szCs w:val="28"/>
              </w:rPr>
              <w:t>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Выписка из Российского регистра ГТС для объектов реконструкции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Рекомендация бассейнового совета о целесообразности и актуальности предлагаемого мероприятия (при наличии)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Поручение Президента Российской Федерации и (или) Председателя Правительства Российской Федерации о финансировании заявляемого объекта капитального строительства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Тест – паспорт объекта, подготовленный в соответствии с Приказом Министерства экономического развития Российской Федерации от 27.03.2019 № 167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2E0F17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66B" w:rsidRPr="003C1AC3" w:rsidRDefault="00FC166B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Документально подтвержденные сведения о проектах-аналогах (</w:t>
            </w:r>
            <w:r w:rsidRPr="003C1AC3">
              <w:rPr>
                <w:b/>
                <w:bCs/>
                <w:i/>
                <w:iCs/>
                <w:szCs w:val="28"/>
              </w:rPr>
              <w:t>для мероприятий на разработку ПСД</w:t>
            </w:r>
            <w:r w:rsidRPr="003C1AC3">
              <w:rPr>
                <w:szCs w:val="28"/>
              </w:rPr>
              <w:t>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66B" w:rsidRPr="003C1AC3" w:rsidRDefault="00FC166B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66B" w:rsidRPr="003C1AC3" w:rsidRDefault="00FC166B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</w:rPr>
            </w:pPr>
          </w:p>
        </w:tc>
      </w:tr>
      <w:tr w:rsidR="00C531D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1DF" w:rsidRPr="003C1AC3" w:rsidRDefault="00C531DF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Сведения и количественные показатели результатов реализации инвестиционного проекта-аналога в соответствии с Приказом Министерства экономического развития Российской Федерации от 27.03.2019 № 167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1DF" w:rsidRPr="003C1AC3" w:rsidRDefault="00C531D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1DF" w:rsidRPr="003C1AC3" w:rsidRDefault="00C531D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Расчет интегральной оценки, подготовленный в соответствии с Приказом Министерства экономического развития Российской Федерации от 27.03.2019 № 167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>Документ, подтверждающий отсутствие оползневых процессов на территории, предполагаемой к застройке</w:t>
            </w:r>
            <w:r w:rsidR="00920476" w:rsidRPr="003C1AC3">
              <w:rPr>
                <w:szCs w:val="28"/>
              </w:rPr>
              <w:t>, выданный уполномоченным органом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left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center"/>
              <w:rPr>
                <w:b/>
                <w:bCs/>
                <w:szCs w:val="28"/>
                <w:lang w:eastAsia="ru-RU"/>
              </w:rPr>
            </w:pPr>
            <w:r w:rsidRPr="003C1AC3">
              <w:rPr>
                <w:b/>
                <w:bCs/>
                <w:szCs w:val="28"/>
                <w:lang w:eastAsia="ru-RU"/>
              </w:rPr>
              <w:t>Для «переходящих» объектов</w:t>
            </w: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 xml:space="preserve">Пояснительная записка по обоснованию заявляемого мероприятия, подписанная руководителем федерального государственного бюджетного учреждения, подведомственного </w:t>
            </w:r>
            <w:proofErr w:type="spellStart"/>
            <w:r w:rsidRPr="003C1AC3">
              <w:rPr>
                <w:szCs w:val="28"/>
                <w:lang w:eastAsia="ru-RU"/>
              </w:rPr>
              <w:t>Росводресурсам</w:t>
            </w:r>
            <w:proofErr w:type="spellEnd"/>
            <w:r w:rsidRPr="003C1AC3">
              <w:rPr>
                <w:szCs w:val="28"/>
                <w:lang w:eastAsia="ru-RU"/>
              </w:rPr>
              <w:t>, содержащая: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наименование мероприятия;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местоположение гидротехнического сооружения с приложением картографического материала,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основные показатели ГТС (мощность/геометрические показатели, материалы конструкций)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информация о предполагаемом собственнике гидротехнического сооружения;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наличие разработанной проектно-сметной документации и предусмотренных законодательством Российской Федерации экспертных заключений;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 xml:space="preserve">- </w:t>
            </w:r>
            <w:proofErr w:type="spellStart"/>
            <w:r w:rsidRPr="003C1AC3">
              <w:rPr>
                <w:szCs w:val="28"/>
                <w:lang w:eastAsia="ru-RU"/>
              </w:rPr>
              <w:t>этапность</w:t>
            </w:r>
            <w:proofErr w:type="spellEnd"/>
            <w:r w:rsidRPr="003C1AC3">
              <w:rPr>
                <w:szCs w:val="28"/>
                <w:lang w:eastAsia="ru-RU"/>
              </w:rPr>
              <w:t xml:space="preserve"> строительства/реконструкции согласно данным проекта, подтвержденным государственной экспертизой;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 xml:space="preserve">- продолжительность строительства согласно </w:t>
            </w:r>
            <w:proofErr w:type="gramStart"/>
            <w:r w:rsidRPr="003C1AC3">
              <w:rPr>
                <w:szCs w:val="28"/>
                <w:lang w:eastAsia="ru-RU"/>
              </w:rPr>
              <w:t>ПОС</w:t>
            </w:r>
            <w:proofErr w:type="gramEnd"/>
            <w:r w:rsidRPr="003C1AC3">
              <w:rPr>
                <w:szCs w:val="28"/>
                <w:lang w:eastAsia="ru-RU"/>
              </w:rPr>
              <w:t>;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информация о предотвращённом в результате реализации мероприятия ущербе, количество защищаемого населения, объектов экономики, информация о достигаемом показателе экономической эффективности,</w:t>
            </w:r>
          </w:p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данные о заключенных контрактах на выполнение СМР, строительного контроля, авторского надзора, экспертного сопровождения, иных контрактов и договоров, имеющих непосредственное отношение к реализации мероприятия, в том числе, на корректировку проектной документац</w:t>
            </w:r>
            <w:proofErr w:type="gramStart"/>
            <w:r w:rsidRPr="003C1AC3">
              <w:rPr>
                <w:szCs w:val="28"/>
                <w:lang w:eastAsia="ru-RU"/>
              </w:rPr>
              <w:t>ии и ее</w:t>
            </w:r>
            <w:proofErr w:type="gramEnd"/>
            <w:r w:rsidRPr="003C1AC3">
              <w:rPr>
                <w:szCs w:val="28"/>
                <w:lang w:eastAsia="ru-RU"/>
              </w:rPr>
              <w:t xml:space="preserve"> экспертизу;</w:t>
            </w:r>
          </w:p>
          <w:p w:rsidR="00120B5F" w:rsidRPr="003C1AC3" w:rsidRDefault="000937C6">
            <w:pPr>
              <w:pStyle w:val="Standard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 стоимостные показатели реализации мероприятия, объёмы финансирования по годам и по источникам.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left"/>
              <w:rPr>
                <w:szCs w:val="28"/>
                <w:lang w:eastAsia="ru-RU"/>
              </w:rPr>
            </w:pPr>
          </w:p>
        </w:tc>
      </w:tr>
      <w:tr w:rsidR="00120B5F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20B5F" w:rsidRPr="003C1AC3" w:rsidRDefault="000937C6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  <w:lang w:eastAsia="ru-RU"/>
              </w:rPr>
              <w:t>Копия проектной (или откор</w:t>
            </w:r>
            <w:r w:rsidR="003C1AC3" w:rsidRPr="003C1AC3">
              <w:rPr>
                <w:szCs w:val="28"/>
                <w:lang w:eastAsia="ru-RU"/>
              </w:rPr>
              <w:t>р</w:t>
            </w:r>
            <w:r w:rsidRPr="003C1AC3">
              <w:rPr>
                <w:szCs w:val="28"/>
                <w:lang w:eastAsia="ru-RU"/>
              </w:rPr>
              <w:t>ектированной) документации, прошедшей экспертизу (полный комплект)</w:t>
            </w:r>
            <w:proofErr w:type="gramStart"/>
            <w:r w:rsidRPr="003C1AC3">
              <w:rPr>
                <w:szCs w:val="28"/>
                <w:lang w:eastAsia="ru-RU"/>
              </w:rPr>
              <w:t>,в</w:t>
            </w:r>
            <w:proofErr w:type="gramEnd"/>
            <w:r w:rsidRPr="003C1AC3">
              <w:rPr>
                <w:szCs w:val="28"/>
                <w:lang w:eastAsia="ru-RU"/>
              </w:rPr>
              <w:t xml:space="preserve"> электронном виде. </w:t>
            </w:r>
            <w:r w:rsidRPr="003C1AC3">
              <w:rPr>
                <w:b/>
                <w:bCs/>
                <w:i/>
                <w:iCs/>
                <w:szCs w:val="28"/>
                <w:lang w:eastAsia="ru-RU"/>
              </w:rPr>
              <w:t>На бумажном носителе проектная документация не передается.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AC4D32" w:rsidP="00AC4D32">
            <w:pPr>
              <w:pStyle w:val="Standard"/>
              <w:widowControl w:val="0"/>
              <w:ind w:left="360" w:firstLine="0"/>
              <w:jc w:val="center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-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0B5F" w:rsidRPr="003C1AC3" w:rsidRDefault="00120B5F">
            <w:pPr>
              <w:pStyle w:val="Standard"/>
              <w:widowControl w:val="0"/>
              <w:numPr>
                <w:ilvl w:val="0"/>
                <w:numId w:val="4"/>
              </w:numPr>
              <w:jc w:val="left"/>
              <w:rPr>
                <w:szCs w:val="28"/>
                <w:lang w:eastAsia="ru-RU"/>
              </w:rPr>
            </w:pPr>
          </w:p>
        </w:tc>
      </w:tr>
      <w:tr w:rsidR="00A96635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6635" w:rsidRPr="003C1AC3" w:rsidRDefault="00A96635" w:rsidP="00A96635">
            <w:pPr>
              <w:pStyle w:val="ConsPlusNormal"/>
              <w:rPr>
                <w:szCs w:val="28"/>
              </w:rPr>
            </w:pPr>
            <w:r w:rsidRPr="003C1AC3">
              <w:rPr>
                <w:szCs w:val="28"/>
              </w:rPr>
              <w:t>ССРС</w:t>
            </w:r>
            <w:r w:rsidR="00306672" w:rsidRPr="003C1AC3">
              <w:rPr>
                <w:szCs w:val="28"/>
              </w:rPr>
              <w:t>С</w:t>
            </w:r>
          </w:p>
          <w:p w:rsidR="00A96635" w:rsidRPr="003C1AC3" w:rsidRDefault="00A96635" w:rsidP="00A96635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</w:rPr>
              <w:t>Сводка затрат для переходящего объекта по форме приложения 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numPr>
                <w:ilvl w:val="0"/>
                <w:numId w:val="4"/>
              </w:numPr>
              <w:jc w:val="left"/>
              <w:rPr>
                <w:szCs w:val="28"/>
                <w:lang w:eastAsia="ru-RU"/>
              </w:rPr>
            </w:pPr>
          </w:p>
        </w:tc>
      </w:tr>
      <w:tr w:rsidR="00A96635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Копия положительного заключения государственной экспертизы по </w:t>
            </w:r>
            <w:r w:rsidRPr="003C1AC3">
              <w:rPr>
                <w:szCs w:val="28"/>
                <w:lang w:eastAsia="ru-RU"/>
              </w:rPr>
              <w:t>проектной</w:t>
            </w:r>
            <w:r w:rsidR="003C1AC3" w:rsidRPr="003C1AC3">
              <w:rPr>
                <w:szCs w:val="28"/>
                <w:lang w:eastAsia="ru-RU"/>
              </w:rPr>
              <w:t xml:space="preserve"> </w:t>
            </w:r>
            <w:r w:rsidRPr="003C1AC3">
              <w:rPr>
                <w:szCs w:val="28"/>
                <w:lang w:eastAsia="ru-RU"/>
              </w:rPr>
              <w:t>(или откорректированной) документации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numPr>
                <w:ilvl w:val="0"/>
                <w:numId w:val="4"/>
              </w:numPr>
              <w:jc w:val="left"/>
              <w:rPr>
                <w:szCs w:val="28"/>
                <w:lang w:eastAsia="ru-RU"/>
              </w:rPr>
            </w:pPr>
          </w:p>
        </w:tc>
      </w:tr>
      <w:tr w:rsidR="00A96635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  <w:lang w:eastAsia="ru-RU"/>
              </w:rPr>
              <w:t>Копия положительного заключения о достоверности определения сметной стоимости объекта капитального строительства (или корректировка)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numPr>
                <w:ilvl w:val="0"/>
                <w:numId w:val="4"/>
              </w:numPr>
              <w:jc w:val="left"/>
              <w:rPr>
                <w:szCs w:val="28"/>
                <w:lang w:eastAsia="ru-RU"/>
              </w:rPr>
            </w:pPr>
          </w:p>
        </w:tc>
      </w:tr>
      <w:tr w:rsidR="00A96635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96635" w:rsidRPr="003C1AC3" w:rsidRDefault="00A96635" w:rsidP="00A96635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  <w:lang w:eastAsia="ru-RU"/>
              </w:rPr>
              <w:t>Копия документа об утверждении проектно-сметной документации (или откорректированной проектно-сметной документации)</w:t>
            </w:r>
            <w:r w:rsidR="003C1AC3" w:rsidRPr="003C1AC3">
              <w:rPr>
                <w:szCs w:val="28"/>
                <w:lang w:eastAsia="ru-RU"/>
              </w:rPr>
              <w:t xml:space="preserve"> </w:t>
            </w:r>
            <w:r w:rsidRPr="003C1AC3">
              <w:rPr>
                <w:szCs w:val="28"/>
                <w:lang w:eastAsia="ru-RU"/>
              </w:rPr>
              <w:t>в соответствии с законодательством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6635" w:rsidRPr="003C1AC3" w:rsidRDefault="00A96635" w:rsidP="00A96635">
            <w:pPr>
              <w:pStyle w:val="Standard"/>
              <w:widowControl w:val="0"/>
              <w:numPr>
                <w:ilvl w:val="0"/>
                <w:numId w:val="4"/>
              </w:numPr>
              <w:jc w:val="left"/>
              <w:rPr>
                <w:szCs w:val="28"/>
                <w:lang w:eastAsia="ru-RU"/>
              </w:rPr>
            </w:pPr>
          </w:p>
        </w:tc>
      </w:tr>
      <w:tr w:rsidR="00C46329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329" w:rsidRPr="003C1AC3" w:rsidRDefault="00C46329" w:rsidP="00C46329">
            <w:pPr>
              <w:pStyle w:val="Standard"/>
              <w:widowControl w:val="0"/>
              <w:ind w:firstLine="0"/>
              <w:jc w:val="left"/>
              <w:rPr>
                <w:szCs w:val="28"/>
              </w:rPr>
            </w:pPr>
            <w:r w:rsidRPr="003C1AC3">
              <w:rPr>
                <w:szCs w:val="28"/>
              </w:rPr>
              <w:t xml:space="preserve">Сводка затрат по переходящим объектам после корректировки по форме приложений </w:t>
            </w:r>
            <w:r w:rsidR="009E1015" w:rsidRPr="003C1AC3">
              <w:rPr>
                <w:szCs w:val="28"/>
              </w:rPr>
              <w:t>13б(1), 13б(2)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left"/>
              <w:rPr>
                <w:szCs w:val="28"/>
                <w:lang w:eastAsia="ru-RU"/>
              </w:rPr>
            </w:pPr>
          </w:p>
        </w:tc>
      </w:tr>
      <w:tr w:rsidR="00C46329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Копии государственных контрактов и дополнительных соглашений на выполнение подрядных работ (строительно-монтажных работ, по авторскому надзору и строительному контролю, экспертного сопровождения, на корректировку проектной документац</w:t>
            </w:r>
            <w:proofErr w:type="gramStart"/>
            <w:r w:rsidRPr="003C1AC3">
              <w:rPr>
                <w:szCs w:val="28"/>
                <w:lang w:eastAsia="ru-RU"/>
              </w:rPr>
              <w:t>ии и ее</w:t>
            </w:r>
            <w:proofErr w:type="gramEnd"/>
            <w:r w:rsidRPr="003C1AC3">
              <w:rPr>
                <w:szCs w:val="28"/>
                <w:lang w:eastAsia="ru-RU"/>
              </w:rPr>
              <w:t xml:space="preserve"> экспертизу), иных контрактов и договоров, имеющих непосредственное отношение к реализации мероприятия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left"/>
              <w:rPr>
                <w:szCs w:val="28"/>
                <w:lang w:eastAsia="ru-RU"/>
              </w:rPr>
            </w:pPr>
          </w:p>
        </w:tc>
      </w:tr>
      <w:tr w:rsidR="00C46329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329" w:rsidRPr="003C1AC3" w:rsidRDefault="00C46329" w:rsidP="00C46329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Копия разрешения на строительство объекта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left"/>
              <w:rPr>
                <w:szCs w:val="28"/>
                <w:lang w:eastAsia="ru-RU"/>
              </w:rPr>
            </w:pPr>
          </w:p>
        </w:tc>
      </w:tr>
      <w:tr w:rsidR="00C46329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329" w:rsidRPr="003C1AC3" w:rsidRDefault="00C46329" w:rsidP="00C46329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left"/>
              <w:rPr>
                <w:szCs w:val="28"/>
                <w:lang w:eastAsia="ru-RU"/>
              </w:rPr>
            </w:pPr>
          </w:p>
        </w:tc>
      </w:tr>
      <w:tr w:rsidR="00C46329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329" w:rsidRPr="003C1AC3" w:rsidRDefault="00C46329" w:rsidP="00C46329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  <w:lang w:eastAsia="ru-RU"/>
              </w:rPr>
              <w:t>Выписка из Единого государственного реестра недвижимости на земельный участок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left"/>
              <w:rPr>
                <w:szCs w:val="28"/>
                <w:lang w:eastAsia="ru-RU"/>
              </w:rPr>
            </w:pPr>
          </w:p>
        </w:tc>
      </w:tr>
      <w:tr w:rsidR="00C46329" w:rsidRPr="003C1AC3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46329" w:rsidRPr="003C1AC3" w:rsidRDefault="00C46329" w:rsidP="00C46329">
            <w:pPr>
              <w:pStyle w:val="Standard"/>
              <w:widowControl w:val="0"/>
              <w:ind w:firstLine="0"/>
              <w:jc w:val="left"/>
              <w:rPr>
                <w:szCs w:val="28"/>
                <w:lang w:eastAsia="ru-RU"/>
              </w:rPr>
            </w:pPr>
            <w:r w:rsidRPr="003C1AC3">
              <w:rPr>
                <w:szCs w:val="28"/>
              </w:rPr>
              <w:t xml:space="preserve">Выписки из </w:t>
            </w:r>
            <w:r w:rsidRPr="003C1AC3">
              <w:rPr>
                <w:bCs/>
                <w:szCs w:val="28"/>
              </w:rPr>
              <w:t>Единого государственного реестра недвижимости о характеристиках объекта недвижимости, а также о зарегистрированных правах на объект недвижимости для объектов реконструкции (приказ Минэкономразвития России от 25.12.2015 № 975)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center"/>
              <w:rPr>
                <w:szCs w:val="28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329" w:rsidRPr="003C1AC3" w:rsidRDefault="00C46329" w:rsidP="00C46329">
            <w:pPr>
              <w:pStyle w:val="Standard"/>
              <w:widowControl w:val="0"/>
              <w:numPr>
                <w:ilvl w:val="0"/>
                <w:numId w:val="4"/>
              </w:numPr>
              <w:jc w:val="left"/>
              <w:rPr>
                <w:szCs w:val="28"/>
                <w:lang w:eastAsia="ru-RU"/>
              </w:rPr>
            </w:pPr>
          </w:p>
        </w:tc>
      </w:tr>
    </w:tbl>
    <w:p w:rsidR="00120B5F" w:rsidRPr="003C1AC3" w:rsidRDefault="00120B5F" w:rsidP="0081404E">
      <w:pPr>
        <w:pStyle w:val="Standard"/>
        <w:ind w:firstLine="0"/>
        <w:rPr>
          <w:szCs w:val="28"/>
        </w:rPr>
      </w:pPr>
    </w:p>
    <w:sectPr w:rsidR="00120B5F" w:rsidRPr="003C1AC3" w:rsidSect="00812A67">
      <w:pgSz w:w="11906" w:h="16838"/>
      <w:pgMar w:top="567" w:right="567" w:bottom="567" w:left="1134" w:header="720" w:footer="720" w:gutter="0"/>
      <w:pgNumType w:start="3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B33" w:rsidRDefault="00963B33">
      <w:r>
        <w:separator/>
      </w:r>
    </w:p>
  </w:endnote>
  <w:endnote w:type="continuationSeparator" w:id="1">
    <w:p w:rsidR="00963B33" w:rsidRDefault="00963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B33" w:rsidRDefault="00963B33">
      <w:r>
        <w:rPr>
          <w:color w:val="000000"/>
        </w:rPr>
        <w:separator/>
      </w:r>
    </w:p>
  </w:footnote>
  <w:footnote w:type="continuationSeparator" w:id="1">
    <w:p w:rsidR="00963B33" w:rsidRDefault="00963B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239A0"/>
    <w:multiLevelType w:val="multilevel"/>
    <w:tmpl w:val="F42853E2"/>
    <w:styleLink w:val="WWNum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EEA2B56"/>
    <w:multiLevelType w:val="multilevel"/>
    <w:tmpl w:val="5CF499D6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26251D1E"/>
    <w:multiLevelType w:val="multilevel"/>
    <w:tmpl w:val="6E22A2EA"/>
    <w:styleLink w:val="WWNum1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269024D"/>
    <w:multiLevelType w:val="multilevel"/>
    <w:tmpl w:val="FF38C658"/>
    <w:styleLink w:val="WWNum4"/>
    <w:lvl w:ilvl="0">
      <w:numFmt w:val="bullet"/>
      <w:lvlText w:val="-"/>
      <w:lvlJc w:val="left"/>
      <w:pPr>
        <w:ind w:left="2127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4E625825"/>
    <w:multiLevelType w:val="multilevel"/>
    <w:tmpl w:val="7B4C9CD6"/>
    <w:styleLink w:val="WWNum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BB27AA"/>
    <w:multiLevelType w:val="multilevel"/>
    <w:tmpl w:val="CE68E716"/>
    <w:styleLink w:val="WWNum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59367F1"/>
    <w:multiLevelType w:val="multilevel"/>
    <w:tmpl w:val="C1BCF0FE"/>
    <w:styleLink w:val="WWNum6"/>
    <w:lvl w:ilvl="0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0B5F"/>
    <w:rsid w:val="000472AA"/>
    <w:rsid w:val="000937C6"/>
    <w:rsid w:val="000B04AD"/>
    <w:rsid w:val="00120B5F"/>
    <w:rsid w:val="002E0F17"/>
    <w:rsid w:val="00306672"/>
    <w:rsid w:val="00324C5D"/>
    <w:rsid w:val="003A5DA7"/>
    <w:rsid w:val="003C1AC3"/>
    <w:rsid w:val="00401102"/>
    <w:rsid w:val="004B7F97"/>
    <w:rsid w:val="00520ABD"/>
    <w:rsid w:val="00563DDF"/>
    <w:rsid w:val="007352EC"/>
    <w:rsid w:val="007F71FC"/>
    <w:rsid w:val="00812A67"/>
    <w:rsid w:val="0081404E"/>
    <w:rsid w:val="0084798F"/>
    <w:rsid w:val="008A5777"/>
    <w:rsid w:val="008B4CC1"/>
    <w:rsid w:val="00920476"/>
    <w:rsid w:val="00963B33"/>
    <w:rsid w:val="009E1015"/>
    <w:rsid w:val="00A96635"/>
    <w:rsid w:val="00AC4D32"/>
    <w:rsid w:val="00BD32C8"/>
    <w:rsid w:val="00C46329"/>
    <w:rsid w:val="00C531DF"/>
    <w:rsid w:val="00CD4484"/>
    <w:rsid w:val="00D73FB9"/>
    <w:rsid w:val="00E176FC"/>
    <w:rsid w:val="00E46430"/>
    <w:rsid w:val="00EE0447"/>
    <w:rsid w:val="00F51A97"/>
    <w:rsid w:val="00FA7581"/>
    <w:rsid w:val="00FC1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8"/>
        <w:szCs w:val="22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67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12A67"/>
    <w:pPr>
      <w:widowControl/>
      <w:suppressAutoHyphens/>
      <w:ind w:firstLine="851"/>
      <w:jc w:val="both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Standard"/>
    <w:next w:val="Textbody"/>
    <w:rsid w:val="00812A67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Textbody">
    <w:name w:val="Text body"/>
    <w:basedOn w:val="Standard"/>
    <w:rsid w:val="00812A67"/>
    <w:pPr>
      <w:spacing w:after="140" w:line="276" w:lineRule="auto"/>
    </w:pPr>
  </w:style>
  <w:style w:type="paragraph" w:styleId="a3">
    <w:name w:val="List"/>
    <w:basedOn w:val="Textbody"/>
    <w:rsid w:val="00812A67"/>
    <w:rPr>
      <w:rFonts w:cs="Lucida Sans"/>
      <w:sz w:val="24"/>
    </w:rPr>
  </w:style>
  <w:style w:type="paragraph" w:styleId="a4">
    <w:name w:val="caption"/>
    <w:basedOn w:val="Standard"/>
    <w:rsid w:val="00812A6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812A67"/>
    <w:pPr>
      <w:suppressLineNumbers/>
    </w:pPr>
    <w:rPr>
      <w:rFonts w:cs="Lucida Sans"/>
      <w:sz w:val="24"/>
    </w:rPr>
  </w:style>
  <w:style w:type="paragraph" w:customStyle="1" w:styleId="ConsPlusNormal">
    <w:name w:val="ConsPlusNormal"/>
    <w:rsid w:val="00812A67"/>
    <w:pPr>
      <w:suppressAutoHyphens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">
    <w:name w:val="ConsPlusTitle"/>
    <w:rsid w:val="00812A67"/>
    <w:pPr>
      <w:suppressAutoHyphens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812A67"/>
    <w:pPr>
      <w:suppressAutoHyphens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Standard"/>
    <w:rsid w:val="00812A67"/>
    <w:pPr>
      <w:ind w:left="720"/>
    </w:pPr>
  </w:style>
  <w:style w:type="paragraph" w:customStyle="1" w:styleId="a6">
    <w:name w:val="Список общий"/>
    <w:basedOn w:val="Standard"/>
    <w:rsid w:val="00812A67"/>
    <w:pPr>
      <w:tabs>
        <w:tab w:val="left" w:pos="851"/>
      </w:tabs>
    </w:pPr>
    <w:rPr>
      <w:rFonts w:eastAsia="Calibri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6"/>
    <w:rsid w:val="00812A67"/>
    <w:pPr>
      <w:tabs>
        <w:tab w:val="clear" w:pos="851"/>
        <w:tab w:val="left" w:pos="5105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Standard"/>
    <w:rsid w:val="00812A67"/>
    <w:rPr>
      <w:rFonts w:ascii="Tahoma" w:eastAsia="Tahoma" w:hAnsi="Tahoma" w:cs="Tahoma"/>
      <w:sz w:val="16"/>
      <w:szCs w:val="16"/>
    </w:rPr>
  </w:style>
  <w:style w:type="paragraph" w:customStyle="1" w:styleId="Endnote">
    <w:name w:val="Endnote"/>
    <w:basedOn w:val="Standard"/>
    <w:rsid w:val="00812A67"/>
    <w:pPr>
      <w:ind w:firstLine="0"/>
      <w:jc w:val="left"/>
    </w:pPr>
    <w:rPr>
      <w:rFonts w:cs="Arial"/>
      <w:sz w:val="20"/>
      <w:szCs w:val="20"/>
      <w:lang w:eastAsia="ru-RU"/>
    </w:rPr>
  </w:style>
  <w:style w:type="paragraph" w:customStyle="1" w:styleId="HeaderandFooter">
    <w:name w:val="Header and Footer"/>
    <w:basedOn w:val="Standard"/>
    <w:rsid w:val="00812A67"/>
  </w:style>
  <w:style w:type="paragraph" w:styleId="a8">
    <w:name w:val="header"/>
    <w:basedOn w:val="Standard"/>
    <w:rsid w:val="00812A67"/>
    <w:pPr>
      <w:tabs>
        <w:tab w:val="center" w:pos="4677"/>
        <w:tab w:val="right" w:pos="9355"/>
      </w:tabs>
    </w:pPr>
  </w:style>
  <w:style w:type="paragraph" w:styleId="a9">
    <w:name w:val="footer"/>
    <w:basedOn w:val="Standard"/>
    <w:rsid w:val="00812A67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812A67"/>
    <w:pPr>
      <w:suppressLineNumbers/>
    </w:pPr>
  </w:style>
  <w:style w:type="paragraph" w:customStyle="1" w:styleId="TableHeading">
    <w:name w:val="Table Heading"/>
    <w:basedOn w:val="TableContents"/>
    <w:rsid w:val="00812A67"/>
    <w:pPr>
      <w:jc w:val="center"/>
    </w:pPr>
    <w:rPr>
      <w:b/>
      <w:bCs/>
    </w:rPr>
  </w:style>
  <w:style w:type="character" w:customStyle="1" w:styleId="Internetlink">
    <w:name w:val="Internet link"/>
    <w:rsid w:val="00812A67"/>
    <w:rPr>
      <w:color w:val="0000FF"/>
      <w:u w:val="single"/>
    </w:rPr>
  </w:style>
  <w:style w:type="character" w:customStyle="1" w:styleId="aa">
    <w:name w:val="Текст выноски Знак"/>
    <w:basedOn w:val="a0"/>
    <w:rsid w:val="00812A67"/>
    <w:rPr>
      <w:rFonts w:ascii="Tahoma" w:eastAsia="Tahoma" w:hAnsi="Tahoma" w:cs="Tahoma"/>
      <w:sz w:val="16"/>
      <w:szCs w:val="16"/>
    </w:rPr>
  </w:style>
  <w:style w:type="character" w:customStyle="1" w:styleId="ab">
    <w:name w:val="Текст концевой сноски Знак"/>
    <w:basedOn w:val="a0"/>
    <w:rsid w:val="00812A67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Endnoteanchor">
    <w:name w:val="Endnote anchor"/>
    <w:rsid w:val="00812A67"/>
    <w:rPr>
      <w:position w:val="0"/>
      <w:vertAlign w:val="superscript"/>
    </w:rPr>
  </w:style>
  <w:style w:type="character" w:customStyle="1" w:styleId="EndnoteCharacters">
    <w:name w:val="Endnote Characters"/>
    <w:basedOn w:val="a0"/>
    <w:rsid w:val="00812A67"/>
    <w:rPr>
      <w:position w:val="0"/>
      <w:vertAlign w:val="superscript"/>
    </w:rPr>
  </w:style>
  <w:style w:type="character" w:customStyle="1" w:styleId="ac">
    <w:name w:val="Верхний колонтитул Знак"/>
    <w:basedOn w:val="a0"/>
    <w:rsid w:val="00812A67"/>
    <w:rPr>
      <w:rFonts w:ascii="Times New Roman" w:eastAsia="Times New Roman" w:hAnsi="Times New Roman" w:cs="Times New Roman"/>
      <w:sz w:val="28"/>
    </w:rPr>
  </w:style>
  <w:style w:type="character" w:customStyle="1" w:styleId="ad">
    <w:name w:val="Нижний колонтитул Знак"/>
    <w:basedOn w:val="a0"/>
    <w:rsid w:val="00812A67"/>
    <w:rPr>
      <w:rFonts w:ascii="Times New Roman" w:eastAsia="Times New Roman" w:hAnsi="Times New Roman" w:cs="Times New Roman"/>
      <w:sz w:val="28"/>
    </w:rPr>
  </w:style>
  <w:style w:type="character" w:customStyle="1" w:styleId="ListLabel1">
    <w:name w:val="ListLabel 1"/>
    <w:rsid w:val="00812A67"/>
    <w:rPr>
      <w:rFonts w:cs="Courier New"/>
    </w:rPr>
  </w:style>
  <w:style w:type="character" w:customStyle="1" w:styleId="ListLabel2">
    <w:name w:val="ListLabel 2"/>
    <w:rsid w:val="00812A67"/>
    <w:rPr>
      <w:rFonts w:cs="Courier New"/>
    </w:rPr>
  </w:style>
  <w:style w:type="character" w:customStyle="1" w:styleId="ListLabel3">
    <w:name w:val="ListLabel 3"/>
    <w:rsid w:val="00812A67"/>
    <w:rPr>
      <w:rFonts w:cs="Courier New"/>
    </w:rPr>
  </w:style>
  <w:style w:type="character" w:customStyle="1" w:styleId="ListLabel4">
    <w:name w:val="ListLabel 4"/>
    <w:rsid w:val="00812A67"/>
    <w:rPr>
      <w:rFonts w:cs="Times New Roman"/>
    </w:rPr>
  </w:style>
  <w:style w:type="character" w:customStyle="1" w:styleId="ListLabel5">
    <w:name w:val="ListLabel 5"/>
    <w:rsid w:val="00812A67"/>
    <w:rPr>
      <w:rFonts w:cs="Courier New"/>
    </w:rPr>
  </w:style>
  <w:style w:type="character" w:customStyle="1" w:styleId="ListLabel6">
    <w:name w:val="ListLabel 6"/>
    <w:rsid w:val="00812A67"/>
    <w:rPr>
      <w:rFonts w:cs="Courier New"/>
    </w:rPr>
  </w:style>
  <w:style w:type="character" w:customStyle="1" w:styleId="ListLabel7">
    <w:name w:val="ListLabel 7"/>
    <w:rsid w:val="00812A67"/>
    <w:rPr>
      <w:rFonts w:cs="Courier New"/>
    </w:rPr>
  </w:style>
  <w:style w:type="character" w:styleId="ae">
    <w:name w:val="annotation reference"/>
    <w:basedOn w:val="a0"/>
    <w:rsid w:val="00812A67"/>
    <w:rPr>
      <w:sz w:val="16"/>
      <w:szCs w:val="16"/>
    </w:rPr>
  </w:style>
  <w:style w:type="paragraph" w:styleId="af">
    <w:name w:val="annotation text"/>
    <w:basedOn w:val="a"/>
    <w:rsid w:val="00812A67"/>
    <w:rPr>
      <w:sz w:val="20"/>
      <w:szCs w:val="20"/>
    </w:rPr>
  </w:style>
  <w:style w:type="character" w:customStyle="1" w:styleId="af0">
    <w:name w:val="Текст примечания Знак"/>
    <w:basedOn w:val="a0"/>
    <w:rsid w:val="00812A67"/>
    <w:rPr>
      <w:sz w:val="20"/>
      <w:szCs w:val="20"/>
    </w:rPr>
  </w:style>
  <w:style w:type="paragraph" w:styleId="af1">
    <w:name w:val="annotation subject"/>
    <w:basedOn w:val="af"/>
    <w:next w:val="af"/>
    <w:rsid w:val="00812A67"/>
    <w:rPr>
      <w:b/>
      <w:bCs/>
    </w:rPr>
  </w:style>
  <w:style w:type="character" w:customStyle="1" w:styleId="af2">
    <w:name w:val="Тема примечания Знак"/>
    <w:basedOn w:val="af0"/>
    <w:rsid w:val="00812A67"/>
    <w:rPr>
      <w:b/>
      <w:bCs/>
      <w:sz w:val="20"/>
      <w:szCs w:val="20"/>
    </w:rPr>
  </w:style>
  <w:style w:type="paragraph" w:styleId="af3">
    <w:name w:val="Revision"/>
    <w:rsid w:val="00812A67"/>
    <w:pPr>
      <w:widowControl/>
      <w:textAlignment w:val="auto"/>
    </w:pPr>
  </w:style>
  <w:style w:type="numbering" w:customStyle="1" w:styleId="1">
    <w:name w:val="Нет списка1"/>
    <w:basedOn w:val="a2"/>
    <w:rsid w:val="00812A67"/>
    <w:pPr>
      <w:numPr>
        <w:numId w:val="1"/>
      </w:numPr>
    </w:pPr>
  </w:style>
  <w:style w:type="numbering" w:customStyle="1" w:styleId="WWNum1">
    <w:name w:val="WWNum1"/>
    <w:basedOn w:val="a2"/>
    <w:rsid w:val="00812A67"/>
    <w:pPr>
      <w:numPr>
        <w:numId w:val="2"/>
      </w:numPr>
    </w:pPr>
  </w:style>
  <w:style w:type="numbering" w:customStyle="1" w:styleId="WWNum2">
    <w:name w:val="WWNum2"/>
    <w:basedOn w:val="a2"/>
    <w:rsid w:val="00812A67"/>
    <w:pPr>
      <w:numPr>
        <w:numId w:val="3"/>
      </w:numPr>
    </w:pPr>
  </w:style>
  <w:style w:type="numbering" w:customStyle="1" w:styleId="WWNum3">
    <w:name w:val="WWNum3"/>
    <w:basedOn w:val="a2"/>
    <w:rsid w:val="00812A67"/>
    <w:pPr>
      <w:numPr>
        <w:numId w:val="4"/>
      </w:numPr>
    </w:pPr>
  </w:style>
  <w:style w:type="numbering" w:customStyle="1" w:styleId="WWNum4">
    <w:name w:val="WWNum4"/>
    <w:basedOn w:val="a2"/>
    <w:rsid w:val="00812A67"/>
    <w:pPr>
      <w:numPr>
        <w:numId w:val="5"/>
      </w:numPr>
    </w:pPr>
  </w:style>
  <w:style w:type="numbering" w:customStyle="1" w:styleId="WWNum5">
    <w:name w:val="WWNum5"/>
    <w:basedOn w:val="a2"/>
    <w:rsid w:val="00812A67"/>
    <w:pPr>
      <w:numPr>
        <w:numId w:val="6"/>
      </w:numPr>
    </w:pPr>
  </w:style>
  <w:style w:type="numbering" w:customStyle="1" w:styleId="WWNum6">
    <w:name w:val="WWNum6"/>
    <w:basedOn w:val="a2"/>
    <w:rsid w:val="00812A67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menshikova</cp:lastModifiedBy>
  <cp:revision>6</cp:revision>
  <cp:lastPrinted>2021-05-26T10:39:00Z</cp:lastPrinted>
  <dcterms:created xsi:type="dcterms:W3CDTF">2022-07-07T12:35:00Z</dcterms:created>
  <dcterms:modified xsi:type="dcterms:W3CDTF">2022-08-04T13:13:00Z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