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C934F5">
        <w:rPr>
          <w:rFonts w:ascii="Times New Roman" w:hAnsi="Times New Roman"/>
          <w:bCs w:val="0"/>
          <w:sz w:val="24"/>
          <w:szCs w:val="24"/>
        </w:rPr>
        <w:t>106</w:t>
      </w:r>
    </w:p>
    <w:p w:rsidR="00EE3D62" w:rsidRDefault="002F4831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865157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865157">
        <w:rPr>
          <w:rFonts w:ascii="Times New Roman" w:hAnsi="Times New Roman"/>
          <w:sz w:val="24"/>
          <w:szCs w:val="24"/>
        </w:rPr>
        <w:t xml:space="preserve">       </w:t>
      </w:r>
      <w:r w:rsidR="00E0618C" w:rsidRPr="0086515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65157">
        <w:rPr>
          <w:rFonts w:ascii="Times New Roman" w:hAnsi="Times New Roman"/>
          <w:sz w:val="24"/>
          <w:szCs w:val="24"/>
        </w:rPr>
        <w:t xml:space="preserve">                         </w:t>
      </w:r>
      <w:r w:rsidR="00C934F5">
        <w:rPr>
          <w:rFonts w:ascii="Times New Roman" w:hAnsi="Times New Roman"/>
          <w:sz w:val="24"/>
          <w:szCs w:val="24"/>
        </w:rPr>
        <w:t>16</w:t>
      </w:r>
      <w:r w:rsidR="002D5861" w:rsidRPr="00865157">
        <w:rPr>
          <w:rFonts w:ascii="Times New Roman" w:hAnsi="Times New Roman"/>
          <w:sz w:val="24"/>
          <w:szCs w:val="24"/>
        </w:rPr>
        <w:t>.</w:t>
      </w:r>
      <w:r w:rsidR="00C934F5">
        <w:rPr>
          <w:rFonts w:ascii="Times New Roman" w:hAnsi="Times New Roman"/>
          <w:sz w:val="24"/>
          <w:szCs w:val="24"/>
        </w:rPr>
        <w:t>03</w:t>
      </w:r>
      <w:r w:rsidR="009D7118" w:rsidRPr="00865157">
        <w:rPr>
          <w:rFonts w:ascii="Times New Roman" w:hAnsi="Times New Roman"/>
          <w:sz w:val="24"/>
          <w:szCs w:val="24"/>
        </w:rPr>
        <w:t>.</w:t>
      </w:r>
      <w:r w:rsidR="002D5861" w:rsidRPr="00865157">
        <w:rPr>
          <w:rFonts w:ascii="Times New Roman" w:hAnsi="Times New Roman"/>
          <w:sz w:val="24"/>
          <w:szCs w:val="24"/>
        </w:rPr>
        <w:t>201</w:t>
      </w:r>
      <w:r w:rsidR="00C934F5">
        <w:rPr>
          <w:rFonts w:ascii="Times New Roman" w:hAnsi="Times New Roman"/>
          <w:sz w:val="24"/>
          <w:szCs w:val="24"/>
        </w:rPr>
        <w:t>6</w:t>
      </w:r>
      <w:r w:rsidR="002D5861" w:rsidRPr="00865157">
        <w:rPr>
          <w:rFonts w:ascii="Times New Roman" w:hAnsi="Times New Roman"/>
          <w:sz w:val="24"/>
          <w:szCs w:val="24"/>
        </w:rPr>
        <w:t>г.</w:t>
      </w:r>
    </w:p>
    <w:p w:rsidR="006A1D38" w:rsidRPr="00F252F9" w:rsidRDefault="006A1D38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176A62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4F3EAB">
        <w:rPr>
          <w:rFonts w:ascii="Times New Roman" w:hAnsi="Times New Roman"/>
          <w:color w:val="000000"/>
          <w:spacing w:val="6"/>
          <w:sz w:val="24"/>
          <w:szCs w:val="24"/>
        </w:rPr>
        <w:t>Таганрогского залива Азовского моря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C934F5">
        <w:rPr>
          <w:rFonts w:ascii="Times New Roman" w:hAnsi="Times New Roman"/>
          <w:sz w:val="24"/>
          <w:szCs w:val="24"/>
          <w:lang w:eastAsia="ru-RU"/>
        </w:rPr>
        <w:t>01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Style w:val="aa"/>
        <w:tblW w:w="0" w:type="auto"/>
        <w:jc w:val="center"/>
        <w:tblLook w:val="04A0"/>
      </w:tblPr>
      <w:tblGrid>
        <w:gridCol w:w="1206"/>
        <w:gridCol w:w="1711"/>
        <w:gridCol w:w="1711"/>
      </w:tblGrid>
      <w:tr w:rsidR="00C934F5" w:rsidRPr="00C934F5" w:rsidTr="00682302">
        <w:trPr>
          <w:jc w:val="center"/>
        </w:trPr>
        <w:tc>
          <w:tcPr>
            <w:tcW w:w="817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134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134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C934F5" w:rsidRPr="00C934F5" w:rsidTr="00682302">
        <w:trPr>
          <w:jc w:val="center"/>
        </w:trPr>
        <w:tc>
          <w:tcPr>
            <w:tcW w:w="817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47°12'07,5"</w:t>
            </w:r>
          </w:p>
        </w:tc>
        <w:tc>
          <w:tcPr>
            <w:tcW w:w="1134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38°57'01,3"</w:t>
            </w:r>
          </w:p>
        </w:tc>
      </w:tr>
      <w:tr w:rsidR="00C934F5" w:rsidRPr="00C934F5" w:rsidTr="00682302">
        <w:trPr>
          <w:jc w:val="center"/>
        </w:trPr>
        <w:tc>
          <w:tcPr>
            <w:tcW w:w="817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47°12'08,1"</w:t>
            </w:r>
          </w:p>
        </w:tc>
        <w:tc>
          <w:tcPr>
            <w:tcW w:w="1134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38°57'01,8"</w:t>
            </w:r>
          </w:p>
        </w:tc>
      </w:tr>
      <w:tr w:rsidR="00C934F5" w:rsidRPr="00C934F5" w:rsidTr="00682302">
        <w:trPr>
          <w:jc w:val="center"/>
        </w:trPr>
        <w:tc>
          <w:tcPr>
            <w:tcW w:w="817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47°12'07,4"</w:t>
            </w:r>
          </w:p>
        </w:tc>
        <w:tc>
          <w:tcPr>
            <w:tcW w:w="1134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38°57'03,4"</w:t>
            </w:r>
          </w:p>
        </w:tc>
      </w:tr>
      <w:tr w:rsidR="00C934F5" w:rsidRPr="00C934F5" w:rsidTr="00682302">
        <w:trPr>
          <w:jc w:val="center"/>
        </w:trPr>
        <w:tc>
          <w:tcPr>
            <w:tcW w:w="817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47°12'06,8"</w:t>
            </w:r>
          </w:p>
        </w:tc>
        <w:tc>
          <w:tcPr>
            <w:tcW w:w="1134" w:type="dxa"/>
          </w:tcPr>
          <w:p w:rsidR="00C934F5" w:rsidRPr="00C934F5" w:rsidRDefault="00C934F5" w:rsidP="00C934F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934F5">
              <w:rPr>
                <w:rFonts w:ascii="Times New Roman" w:hAnsi="Times New Roman"/>
                <w:sz w:val="24"/>
                <w:szCs w:val="24"/>
              </w:rPr>
              <w:t>38°57'02,9"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133C84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27BF1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Pr="006074F0" w:rsidRDefault="00E27BF1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BD0593" w:rsidRDefault="00BD0593" w:rsidP="00BD059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D84483" w:rsidRDefault="008B3977" w:rsidP="00D8448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  <w:r w:rsidR="00D84483" w:rsidRPr="00D84483">
        <w:rPr>
          <w:rFonts w:ascii="Times New Roman" w:hAnsi="Times New Roman"/>
          <w:sz w:val="24"/>
          <w:szCs w:val="24"/>
        </w:rPr>
        <w:t xml:space="preserve"> </w:t>
      </w:r>
    </w:p>
    <w:p w:rsidR="00E27BF1" w:rsidRDefault="00E27BF1" w:rsidP="00D8448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8B3977" w:rsidRPr="006074F0" w:rsidRDefault="008B3977" w:rsidP="008B3977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2D5C04"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4F3EAB" w:rsidRDefault="004F3EAB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Default="004E509A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A47E9" w:rsidRPr="003075BE" w:rsidRDefault="00EA47E9" w:rsidP="00EA47E9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A47E9">
        <w:rPr>
          <w:rFonts w:ascii="Times New Roman" w:hAnsi="Times New Roman"/>
          <w:sz w:val="24"/>
          <w:szCs w:val="24"/>
        </w:rPr>
        <w:t>На начало текущего заседания комиссии</w:t>
      </w:r>
      <w:r w:rsidR="00865157">
        <w:rPr>
          <w:rFonts w:ascii="Times New Roman" w:hAnsi="Times New Roman"/>
          <w:sz w:val="24"/>
          <w:szCs w:val="24"/>
        </w:rPr>
        <w:t xml:space="preserve"> </w:t>
      </w:r>
      <w:r w:rsidRPr="00EA47E9">
        <w:rPr>
          <w:rFonts w:ascii="Times New Roman" w:hAnsi="Times New Roman"/>
          <w:sz w:val="24"/>
          <w:szCs w:val="24"/>
        </w:rPr>
        <w:t xml:space="preserve">по </w:t>
      </w:r>
      <w:r w:rsidRPr="0032651B">
        <w:rPr>
          <w:rFonts w:ascii="Times New Roman" w:hAnsi="Times New Roman"/>
          <w:sz w:val="24"/>
          <w:szCs w:val="24"/>
        </w:rPr>
        <w:t xml:space="preserve">рассмотрению заявок на участие в аукционе 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C934F5">
        <w:rPr>
          <w:rFonts w:ascii="Times New Roman" w:hAnsi="Times New Roman"/>
          <w:sz w:val="24"/>
          <w:szCs w:val="24"/>
        </w:rPr>
        <w:t>№ 106</w:t>
      </w:r>
      <w:r>
        <w:rPr>
          <w:rFonts w:ascii="Times New Roman" w:hAnsi="Times New Roman"/>
          <w:sz w:val="24"/>
          <w:szCs w:val="24"/>
        </w:rPr>
        <w:t xml:space="preserve"> </w:t>
      </w:r>
      <w:r w:rsidR="00C934F5">
        <w:rPr>
          <w:rFonts w:ascii="Times New Roman" w:hAnsi="Times New Roman"/>
          <w:sz w:val="24"/>
          <w:szCs w:val="24"/>
        </w:rPr>
        <w:t>в 10 часов 00 минут 16.03.2016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  <w:r w:rsidR="003075BE" w:rsidRPr="00EA47E9">
        <w:rPr>
          <w:rFonts w:ascii="Times New Roman" w:hAnsi="Times New Roman"/>
          <w:sz w:val="24"/>
          <w:szCs w:val="24"/>
        </w:rPr>
        <w:t xml:space="preserve"> </w:t>
      </w:r>
      <w:r w:rsidR="00C934F5">
        <w:rPr>
          <w:rFonts w:ascii="Times New Roman" w:hAnsi="Times New Roman"/>
          <w:sz w:val="24"/>
          <w:szCs w:val="24"/>
        </w:rPr>
        <w:t>присутствовал 1 (один) представитель</w:t>
      </w:r>
      <w:r w:rsidR="00814326">
        <w:rPr>
          <w:rFonts w:ascii="Times New Roman" w:hAnsi="Times New Roman"/>
          <w:sz w:val="24"/>
          <w:szCs w:val="24"/>
        </w:rPr>
        <w:t xml:space="preserve"> участника аукциона </w:t>
      </w:r>
      <w:r w:rsidRPr="00EA47E9">
        <w:rPr>
          <w:rFonts w:ascii="Times New Roman" w:hAnsi="Times New Roman"/>
          <w:sz w:val="24"/>
          <w:szCs w:val="24"/>
        </w:rPr>
        <w:t>в соответствии с листом регистрации уч</w:t>
      </w:r>
      <w:r w:rsidR="00F02A22">
        <w:rPr>
          <w:rFonts w:ascii="Times New Roman" w:hAnsi="Times New Roman"/>
          <w:sz w:val="24"/>
          <w:szCs w:val="24"/>
        </w:rPr>
        <w:t>астников пр</w:t>
      </w:r>
      <w:r w:rsidR="00C934F5">
        <w:rPr>
          <w:rFonts w:ascii="Times New Roman" w:hAnsi="Times New Roman"/>
          <w:sz w:val="24"/>
          <w:szCs w:val="24"/>
        </w:rPr>
        <w:t>оцедуры вскрытия конвертов от 16.03.2016</w:t>
      </w:r>
      <w:r w:rsidR="00F02A22">
        <w:rPr>
          <w:rFonts w:ascii="Times New Roman" w:hAnsi="Times New Roman"/>
          <w:sz w:val="24"/>
          <w:szCs w:val="24"/>
        </w:rPr>
        <w:t xml:space="preserve"> г.</w:t>
      </w:r>
      <w:r w:rsidR="001C0085">
        <w:rPr>
          <w:rFonts w:ascii="Times New Roman" w:hAnsi="Times New Roman"/>
          <w:sz w:val="24"/>
          <w:szCs w:val="24"/>
        </w:rPr>
        <w:t xml:space="preserve"> - </w:t>
      </w:r>
      <w:r w:rsidR="00865157" w:rsidRPr="003075BE">
        <w:rPr>
          <w:rFonts w:ascii="Times New Roman" w:hAnsi="Times New Roman"/>
          <w:sz w:val="24"/>
          <w:szCs w:val="24"/>
        </w:rPr>
        <w:t>Огарева Елена Александровна (главный специалист сектора охраны окружающей среды Азовского бассейнов</w:t>
      </w:r>
      <w:r w:rsidR="00C934F5">
        <w:rPr>
          <w:rFonts w:ascii="Times New Roman" w:hAnsi="Times New Roman"/>
          <w:sz w:val="24"/>
          <w:szCs w:val="24"/>
        </w:rPr>
        <w:t>ого филиала ФГУП «</w:t>
      </w:r>
      <w:proofErr w:type="spellStart"/>
      <w:r w:rsidR="00C934F5">
        <w:rPr>
          <w:rFonts w:ascii="Times New Roman" w:hAnsi="Times New Roman"/>
          <w:sz w:val="24"/>
          <w:szCs w:val="24"/>
        </w:rPr>
        <w:t>Росморпорт</w:t>
      </w:r>
      <w:proofErr w:type="spellEnd"/>
      <w:r w:rsidR="00C934F5">
        <w:rPr>
          <w:rFonts w:ascii="Times New Roman" w:hAnsi="Times New Roman"/>
          <w:sz w:val="24"/>
          <w:szCs w:val="24"/>
        </w:rPr>
        <w:t>»).</w:t>
      </w:r>
      <w:proofErr w:type="gramEnd"/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F252F9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C934F5" w:rsidRPr="00C934F5">
        <w:rPr>
          <w:rFonts w:ascii="Times New Roman" w:hAnsi="Times New Roman"/>
          <w:color w:val="000000"/>
          <w:sz w:val="24"/>
          <w:szCs w:val="24"/>
        </w:rPr>
        <w:t>101215/2253499/02</w:t>
      </w:r>
      <w:r w:rsidR="00C934F5" w:rsidRPr="009F567F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C934F5" w:rsidRPr="00C934F5">
        <w:rPr>
          <w:rFonts w:ascii="Times New Roman" w:hAnsi="Times New Roman"/>
          <w:sz w:val="24"/>
          <w:szCs w:val="24"/>
        </w:rPr>
        <w:t>10.12.2015</w:t>
      </w:r>
      <w:r w:rsidR="003075BE" w:rsidRPr="00C934F5">
        <w:rPr>
          <w:rFonts w:ascii="Times New Roman" w:hAnsi="Times New Roman"/>
          <w:sz w:val="24"/>
          <w:szCs w:val="24"/>
        </w:rPr>
        <w:t>г</w:t>
      </w:r>
      <w:r w:rsidR="003075BE">
        <w:rPr>
          <w:rFonts w:ascii="Times New Roman" w:hAnsi="Times New Roman"/>
          <w:sz w:val="24"/>
          <w:szCs w:val="24"/>
        </w:rPr>
        <w:t>.</w:t>
      </w:r>
    </w:p>
    <w:p w:rsidR="008B3977" w:rsidRDefault="00F252F9" w:rsidP="00F252F9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443359" w:rsidRPr="00EA47E9">
        <w:rPr>
          <w:rFonts w:ascii="Times New Roman" w:hAnsi="Times New Roman"/>
          <w:sz w:val="24"/>
          <w:szCs w:val="24"/>
        </w:rPr>
        <w:t>10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C934F5">
        <w:rPr>
          <w:rFonts w:ascii="Times New Roman" w:hAnsi="Times New Roman"/>
          <w:sz w:val="24"/>
          <w:szCs w:val="24"/>
        </w:rPr>
        <w:t>16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C934F5">
        <w:rPr>
          <w:rFonts w:ascii="Times New Roman" w:hAnsi="Times New Roman"/>
          <w:sz w:val="24"/>
          <w:szCs w:val="24"/>
        </w:rPr>
        <w:t>03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C934F5">
        <w:rPr>
          <w:rFonts w:ascii="Times New Roman" w:hAnsi="Times New Roman"/>
          <w:sz w:val="24"/>
          <w:szCs w:val="24"/>
        </w:rPr>
        <w:t>6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3056AC" w:rsidRPr="00464964">
        <w:rPr>
          <w:rFonts w:ascii="Times New Roman" w:hAnsi="Times New Roman"/>
          <w:sz w:val="24"/>
          <w:szCs w:val="24"/>
        </w:rPr>
        <w:t xml:space="preserve"> 1</w:t>
      </w:r>
      <w:r w:rsidR="00C934F5">
        <w:rPr>
          <w:rFonts w:ascii="Times New Roman" w:hAnsi="Times New Roman"/>
          <w:sz w:val="24"/>
          <w:szCs w:val="24"/>
        </w:rPr>
        <w:t>4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2D3EB3" w:rsidRPr="00464964">
        <w:rPr>
          <w:rFonts w:ascii="Times New Roman" w:hAnsi="Times New Roman"/>
          <w:sz w:val="24"/>
          <w:szCs w:val="24"/>
        </w:rPr>
        <w:t>ча</w:t>
      </w:r>
      <w:r w:rsidR="00443359" w:rsidRPr="00464964">
        <w:rPr>
          <w:rFonts w:ascii="Times New Roman" w:hAnsi="Times New Roman"/>
          <w:sz w:val="24"/>
          <w:szCs w:val="24"/>
        </w:rPr>
        <w:t>сов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E16903" w:rsidRPr="00464964">
        <w:rPr>
          <w:rFonts w:ascii="Times New Roman" w:hAnsi="Times New Roman"/>
          <w:sz w:val="24"/>
          <w:szCs w:val="24"/>
        </w:rPr>
        <w:t>0</w:t>
      </w:r>
      <w:r w:rsidR="002C6927" w:rsidRPr="00464964">
        <w:rPr>
          <w:rFonts w:ascii="Times New Roman" w:hAnsi="Times New Roman"/>
          <w:sz w:val="24"/>
          <w:szCs w:val="24"/>
        </w:rPr>
        <w:t>0</w:t>
      </w:r>
      <w:r w:rsidR="00CB7AB2" w:rsidRPr="00464964">
        <w:rPr>
          <w:rFonts w:ascii="Times New Roman" w:hAnsi="Times New Roman"/>
          <w:sz w:val="24"/>
          <w:szCs w:val="24"/>
        </w:rPr>
        <w:t xml:space="preserve"> минут </w:t>
      </w:r>
      <w:r w:rsidR="00C934F5">
        <w:rPr>
          <w:rFonts w:ascii="Times New Roman" w:hAnsi="Times New Roman"/>
          <w:sz w:val="24"/>
          <w:szCs w:val="24"/>
        </w:rPr>
        <w:t>16</w:t>
      </w:r>
      <w:r w:rsidR="002D5861" w:rsidRPr="00464964">
        <w:rPr>
          <w:rFonts w:ascii="Times New Roman" w:hAnsi="Times New Roman"/>
          <w:sz w:val="24"/>
          <w:szCs w:val="24"/>
        </w:rPr>
        <w:t>.</w:t>
      </w:r>
      <w:r w:rsidR="00C934F5">
        <w:rPr>
          <w:rFonts w:ascii="Times New Roman" w:hAnsi="Times New Roman"/>
          <w:sz w:val="24"/>
          <w:szCs w:val="24"/>
        </w:rPr>
        <w:t>03</w:t>
      </w:r>
      <w:r w:rsidR="0021131E" w:rsidRPr="00464964">
        <w:rPr>
          <w:rFonts w:ascii="Times New Roman" w:hAnsi="Times New Roman"/>
          <w:sz w:val="24"/>
          <w:szCs w:val="24"/>
        </w:rPr>
        <w:t>.</w:t>
      </w:r>
      <w:r w:rsidR="002D5861" w:rsidRPr="00464964">
        <w:rPr>
          <w:rFonts w:ascii="Times New Roman" w:hAnsi="Times New Roman"/>
          <w:sz w:val="24"/>
          <w:szCs w:val="24"/>
        </w:rPr>
        <w:t>201</w:t>
      </w:r>
      <w:r w:rsidR="00C934F5">
        <w:rPr>
          <w:rFonts w:ascii="Times New Roman" w:hAnsi="Times New Roman"/>
          <w:sz w:val="24"/>
          <w:szCs w:val="24"/>
        </w:rPr>
        <w:t>6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21131E" w:rsidRPr="0021131E" w:rsidRDefault="00F252F9" w:rsidP="00334E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C934F5">
        <w:rPr>
          <w:rFonts w:ascii="Times New Roman" w:hAnsi="Times New Roman"/>
          <w:sz w:val="24"/>
          <w:szCs w:val="24"/>
        </w:rPr>
        <w:t>16</w:t>
      </w:r>
      <w:r w:rsidR="002D5861">
        <w:rPr>
          <w:rFonts w:ascii="Times New Roman" w:hAnsi="Times New Roman"/>
          <w:sz w:val="24"/>
          <w:szCs w:val="24"/>
        </w:rPr>
        <w:t>.</w:t>
      </w:r>
      <w:r w:rsidR="00C934F5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C934F5">
        <w:rPr>
          <w:rFonts w:ascii="Times New Roman" w:hAnsi="Times New Roman"/>
          <w:sz w:val="24"/>
          <w:szCs w:val="24"/>
        </w:rPr>
        <w:t>6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436D78" w:rsidRPr="005B54C1">
        <w:rPr>
          <w:rFonts w:ascii="Times New Roman" w:hAnsi="Times New Roman"/>
          <w:sz w:val="24"/>
          <w:szCs w:val="24"/>
        </w:rPr>
        <w:t>минут была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436D78" w:rsidRPr="005B54C1">
        <w:rPr>
          <w:rFonts w:ascii="Times New Roman" w:hAnsi="Times New Roman"/>
          <w:sz w:val="24"/>
          <w:szCs w:val="24"/>
        </w:rPr>
        <w:t>ставлена 1 заявка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C934F5">
        <w:rPr>
          <w:rFonts w:ascii="Times New Roman" w:hAnsi="Times New Roman"/>
          <w:sz w:val="24"/>
          <w:szCs w:val="24"/>
        </w:rPr>
        <w:t>106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C934F5">
        <w:rPr>
          <w:rFonts w:ascii="Times New Roman" w:hAnsi="Times New Roman"/>
          <w:sz w:val="24"/>
          <w:szCs w:val="24"/>
        </w:rPr>
        <w:t>14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C934F5">
        <w:rPr>
          <w:rFonts w:ascii="Times New Roman" w:hAnsi="Times New Roman" w:cs="Times New Roman"/>
          <w:sz w:val="24"/>
          <w:szCs w:val="24"/>
        </w:rPr>
        <w:t>03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C934F5">
        <w:rPr>
          <w:rFonts w:ascii="Times New Roman" w:hAnsi="Times New Roman" w:cs="Times New Roman"/>
          <w:sz w:val="24"/>
          <w:szCs w:val="24"/>
        </w:rPr>
        <w:t>6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C934F5">
        <w:rPr>
          <w:rFonts w:ascii="Times New Roman" w:hAnsi="Times New Roman" w:cs="Times New Roman"/>
          <w:sz w:val="24"/>
          <w:szCs w:val="24"/>
        </w:rPr>
        <w:t>14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E27BF1">
        <w:rPr>
          <w:rFonts w:ascii="Times New Roman" w:hAnsi="Times New Roman" w:cs="Times New Roman"/>
          <w:sz w:val="24"/>
          <w:szCs w:val="24"/>
        </w:rPr>
        <w:t>4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4964" w:rsidRDefault="00464964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C934F5" w:rsidRDefault="00C934F5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5F7361" w:rsidRPr="0032651B" w:rsidRDefault="00F252F9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E27BF1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ФГУП «</w:t>
            </w:r>
            <w:proofErr w:type="spellStart"/>
            <w:r>
              <w:rPr>
                <w:rFonts w:ascii="Times New Roman" w:hAnsi="Times New Roman"/>
              </w:rPr>
              <w:t>Росморпорт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="0017002D">
              <w:rPr>
                <w:rFonts w:ascii="Times New Roman" w:hAnsi="Times New Roman"/>
              </w:rPr>
              <w:t>(Азовский бассейновый филиал)</w:t>
            </w:r>
          </w:p>
        </w:tc>
        <w:tc>
          <w:tcPr>
            <w:tcW w:w="1370" w:type="dxa"/>
          </w:tcPr>
          <w:p w:rsidR="00743A70" w:rsidRPr="00743A70" w:rsidRDefault="00E27BF1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Федеральное государственное унитарное предприятие</w:t>
            </w:r>
          </w:p>
        </w:tc>
        <w:tc>
          <w:tcPr>
            <w:tcW w:w="1890" w:type="dxa"/>
          </w:tcPr>
          <w:p w:rsidR="00743A70" w:rsidRPr="00743A70" w:rsidRDefault="00E27BF1" w:rsidP="00D844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Сущевская</w:t>
            </w:r>
            <w:proofErr w:type="spellEnd"/>
            <w:r>
              <w:rPr>
                <w:rFonts w:ascii="Times New Roman" w:hAnsi="Times New Roman"/>
              </w:rPr>
              <w:t>, 19, стр. 7, г. Москва, 127055</w:t>
            </w:r>
          </w:p>
        </w:tc>
        <w:tc>
          <w:tcPr>
            <w:tcW w:w="1843" w:type="dxa"/>
          </w:tcPr>
          <w:p w:rsidR="00743A70" w:rsidRPr="00743A70" w:rsidRDefault="00E27BF1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Володарского, 76/23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, г. Ростов-на-Дону, 344116</w:t>
            </w:r>
          </w:p>
        </w:tc>
        <w:tc>
          <w:tcPr>
            <w:tcW w:w="1134" w:type="dxa"/>
          </w:tcPr>
          <w:p w:rsidR="00743A70" w:rsidRPr="006858BF" w:rsidRDefault="001C4214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8495 626-14-25; 8863 287-00-20</w:t>
            </w:r>
          </w:p>
        </w:tc>
        <w:tc>
          <w:tcPr>
            <w:tcW w:w="1433" w:type="dxa"/>
          </w:tcPr>
          <w:p w:rsidR="00743A70" w:rsidRPr="00743A70" w:rsidRDefault="00C934F5" w:rsidP="00C934F5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05,35</w:t>
            </w:r>
            <w:r w:rsidR="001C42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пять рублей 35</w:t>
            </w:r>
            <w:r w:rsidR="001C4214">
              <w:rPr>
                <w:rFonts w:ascii="Times New Roman" w:hAnsi="Times New Roman"/>
              </w:rPr>
              <w:t xml:space="preserve"> копеек</w:t>
            </w:r>
            <w:r>
              <w:rPr>
                <w:rFonts w:ascii="Times New Roman" w:hAnsi="Times New Roman"/>
              </w:rPr>
              <w:t>), платежное поручение № 00675 от 02.03.2016</w:t>
            </w:r>
            <w:r w:rsidR="001C4214"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A64F9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7047E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</w:t>
      </w:r>
      <w:r w:rsidR="00C934F5">
        <w:rPr>
          <w:rFonts w:ascii="Times New Roman" w:hAnsi="Times New Roman"/>
          <w:sz w:val="24"/>
          <w:szCs w:val="24"/>
        </w:rPr>
        <w:t>106/</w:t>
      </w:r>
      <w:r w:rsidR="00CF621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C934F5">
        <w:rPr>
          <w:rFonts w:ascii="Times New Roman" w:hAnsi="Times New Roman"/>
          <w:sz w:val="24"/>
          <w:szCs w:val="24"/>
        </w:rPr>
        <w:t xml:space="preserve">106 – заявитель </w:t>
      </w:r>
      <w:r w:rsidR="00C934F5" w:rsidRPr="00C934F5">
        <w:rPr>
          <w:rFonts w:ascii="Times New Roman" w:hAnsi="Times New Roman"/>
          <w:sz w:val="24"/>
          <w:szCs w:val="24"/>
        </w:rPr>
        <w:t>ФГУП «</w:t>
      </w:r>
      <w:proofErr w:type="spellStart"/>
      <w:r w:rsidR="00C934F5" w:rsidRPr="00C934F5">
        <w:rPr>
          <w:rFonts w:ascii="Times New Roman" w:hAnsi="Times New Roman"/>
          <w:sz w:val="24"/>
          <w:szCs w:val="24"/>
        </w:rPr>
        <w:t>Росморпорт</w:t>
      </w:r>
      <w:proofErr w:type="spellEnd"/>
      <w:r w:rsidR="00C934F5" w:rsidRPr="00C934F5">
        <w:rPr>
          <w:rFonts w:ascii="Times New Roman" w:hAnsi="Times New Roman"/>
          <w:sz w:val="24"/>
          <w:szCs w:val="24"/>
        </w:rPr>
        <w:t>» (Азовский бассейновый филиал)</w:t>
      </w:r>
      <w:r w:rsidR="00C934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</w:t>
      </w:r>
      <w:r w:rsidR="00C934F5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700" w:rsidRPr="0077783D" w:rsidRDefault="007047E3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B1D1F">
        <w:rPr>
          <w:rFonts w:ascii="Times New Roman" w:hAnsi="Times New Roman"/>
          <w:sz w:val="24"/>
          <w:szCs w:val="24"/>
        </w:rPr>
        <w:t>З</w:t>
      </w:r>
      <w:r w:rsidR="002B2700">
        <w:rPr>
          <w:rFonts w:ascii="Times New Roman" w:hAnsi="Times New Roman"/>
          <w:sz w:val="24"/>
          <w:szCs w:val="24"/>
        </w:rPr>
        <w:t>аявитель соответствует требованиям, предъявляемым законодательством Российской Федерации к лицам, которым предоставляется право пользования водными объектами</w:t>
      </w:r>
      <w:r w:rsidR="006B1D1F">
        <w:rPr>
          <w:rFonts w:ascii="Times New Roman" w:hAnsi="Times New Roman"/>
          <w:sz w:val="24"/>
          <w:szCs w:val="24"/>
        </w:rPr>
        <w:t xml:space="preserve"> (</w:t>
      </w:r>
      <w:r w:rsidR="0077783D">
        <w:rPr>
          <w:rFonts w:ascii="Times New Roman" w:hAnsi="Times New Roman"/>
          <w:sz w:val="24"/>
          <w:szCs w:val="24"/>
        </w:rPr>
        <w:t>П</w:t>
      </w:r>
      <w:r w:rsidR="006B1D1F" w:rsidRPr="0077783D">
        <w:rPr>
          <w:rFonts w:ascii="Times New Roman" w:hAnsi="Times New Roman"/>
          <w:sz w:val="24"/>
          <w:szCs w:val="24"/>
        </w:rPr>
        <w:t>одтверждено базой</w:t>
      </w:r>
      <w:r w:rsidR="0077783D" w:rsidRPr="0077783D">
        <w:rPr>
          <w:rFonts w:ascii="Times New Roman" w:hAnsi="Times New Roman"/>
          <w:sz w:val="24"/>
          <w:szCs w:val="24"/>
        </w:rPr>
        <w:t xml:space="preserve"> системы исполнения</w:t>
      </w:r>
      <w:r w:rsidR="0077783D">
        <w:rPr>
          <w:rFonts w:ascii="Times New Roman" w:hAnsi="Times New Roman"/>
          <w:sz w:val="24"/>
          <w:szCs w:val="24"/>
        </w:rPr>
        <w:t xml:space="preserve"> </w:t>
      </w:r>
      <w:r w:rsidR="0077783D"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 w:rsidR="0077783D">
        <w:rPr>
          <w:rFonts w:ascii="Times New Roman" w:hAnsi="Times New Roman"/>
          <w:sz w:val="24"/>
          <w:szCs w:val="24"/>
        </w:rPr>
        <w:t>.</w:t>
      </w:r>
      <w:proofErr w:type="gramEnd"/>
      <w:r w:rsidR="0077783D"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="0077783D" w:rsidRPr="0077783D">
        <w:rPr>
          <w:rFonts w:ascii="Times New Roman" w:hAnsi="Times New Roman"/>
          <w:sz w:val="24"/>
          <w:szCs w:val="24"/>
        </w:rPr>
        <w:t xml:space="preserve"> </w:t>
      </w:r>
      <w:r w:rsidR="0077783D"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="002B2700" w:rsidRPr="0077783D">
        <w:rPr>
          <w:rFonts w:ascii="Times New Roman" w:hAnsi="Times New Roman"/>
          <w:sz w:val="24"/>
          <w:szCs w:val="24"/>
        </w:rPr>
        <w:t>.</w:t>
      </w:r>
    </w:p>
    <w:p w:rsidR="002B2700" w:rsidRDefault="008F7968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="002B2700">
        <w:tab/>
      </w:r>
      <w:r w:rsidR="002B2700" w:rsidRPr="00690BB2">
        <w:rPr>
          <w:rFonts w:ascii="Times New Roman" w:hAnsi="Times New Roman"/>
        </w:rPr>
        <w:t>П</w:t>
      </w:r>
      <w:r w:rsidR="00176A62" w:rsidRPr="00690BB2">
        <w:rPr>
          <w:rFonts w:ascii="Times New Roman" w:hAnsi="Times New Roman"/>
          <w:sz w:val="24"/>
          <w:szCs w:val="24"/>
        </w:rPr>
        <w:t>ризнать</w:t>
      </w:r>
      <w:r w:rsidR="00176A62"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</w:t>
      </w:r>
      <w:r w:rsidRPr="00E32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7EDB" w:rsidRPr="00E32C6F">
        <w:rPr>
          <w:rFonts w:ascii="Times New Roman" w:hAnsi="Times New Roman"/>
          <w:sz w:val="24"/>
          <w:szCs w:val="24"/>
        </w:rPr>
        <w:t>–</w:t>
      </w:r>
      <w:r w:rsidR="001C4214">
        <w:rPr>
          <w:rFonts w:ascii="Times New Roman" w:hAnsi="Times New Roman"/>
          <w:sz w:val="24"/>
          <w:szCs w:val="24"/>
        </w:rPr>
        <w:t>Ф</w:t>
      </w:r>
      <w:proofErr w:type="gramEnd"/>
      <w:r w:rsidR="001C4214">
        <w:rPr>
          <w:rFonts w:ascii="Times New Roman" w:hAnsi="Times New Roman"/>
          <w:sz w:val="24"/>
          <w:szCs w:val="24"/>
        </w:rPr>
        <w:t>ГУП «</w:t>
      </w:r>
      <w:proofErr w:type="spellStart"/>
      <w:r w:rsidR="001C4214">
        <w:rPr>
          <w:rFonts w:ascii="Times New Roman" w:hAnsi="Times New Roman"/>
          <w:sz w:val="24"/>
          <w:szCs w:val="24"/>
        </w:rPr>
        <w:t>Росморпорт</w:t>
      </w:r>
      <w:proofErr w:type="spellEnd"/>
      <w:r w:rsidR="001C4214">
        <w:rPr>
          <w:rFonts w:ascii="Times New Roman" w:hAnsi="Times New Roman"/>
          <w:sz w:val="24"/>
          <w:szCs w:val="24"/>
        </w:rPr>
        <w:t>»</w:t>
      </w:r>
      <w:r w:rsidR="0017002D">
        <w:rPr>
          <w:rFonts w:ascii="Times New Roman" w:hAnsi="Times New Roman"/>
        </w:rPr>
        <w:t xml:space="preserve"> (</w:t>
      </w:r>
      <w:r w:rsidR="0017002D">
        <w:rPr>
          <w:rFonts w:ascii="Times New Roman" w:hAnsi="Times New Roman"/>
          <w:sz w:val="24"/>
          <w:szCs w:val="24"/>
        </w:rPr>
        <w:t xml:space="preserve">Азовский бассейновый филиал). </w:t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E32C6F" w:rsidRDefault="00E32C6F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6A62"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2D3EB3"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="002D3EB3" w:rsidRPr="00E32C6F">
        <w:rPr>
          <w:rFonts w:ascii="Times New Roman" w:hAnsi="Times New Roman"/>
          <w:sz w:val="24"/>
          <w:szCs w:val="24"/>
        </w:rPr>
        <w:t>кциона.</w:t>
      </w:r>
    </w:p>
    <w:p w:rsidR="002D3EB3" w:rsidRPr="002B2700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="00C1371F" w:rsidRPr="00C14A3C">
        <w:rPr>
          <w:rFonts w:ascii="Times New Roman" w:hAnsi="Times New Roman"/>
          <w:sz w:val="24"/>
          <w:szCs w:val="24"/>
        </w:rPr>
        <w:t>.</w:t>
      </w:r>
      <w:proofErr w:type="spellStart"/>
      <w:r w:rsidR="00C1371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7047E3" w:rsidRPr="0032651B" w:rsidRDefault="007047E3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2D3EB3" w:rsidRPr="0032651B" w:rsidRDefault="00176A62" w:rsidP="00F65C53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F65C53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121EA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1C4214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D84483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C86B6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0879F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1C4214"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D84483" w:rsidRDefault="00D84483" w:rsidP="000879F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D84483" w:rsidRPr="00E86B51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="00EF262F">
              <w:rPr>
                <w:rFonts w:ascii="Times New Roman" w:hAnsi="Times New Roman"/>
                <w:sz w:val="24"/>
                <w:szCs w:val="24"/>
                <w:u w:val="single"/>
              </w:rPr>
              <w:t>_Герасименко</w:t>
            </w:r>
            <w:proofErr w:type="spellEnd"/>
            <w:r w:rsidR="00EF2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Мария Валерьевна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D84483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C14A3C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84483" w:rsidRPr="00E86B51" w:rsidRDefault="00D84483" w:rsidP="00690BB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_Воронько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Евгеньевна__</w:t>
            </w:r>
          </w:p>
          <w:p w:rsidR="00D84483" w:rsidRDefault="00D84483" w:rsidP="00690BB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D84483" w:rsidRPr="00436D78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311D94">
      <w:pgSz w:w="11906" w:h="16838"/>
      <w:pgMar w:top="89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D0C63"/>
    <w:rsid w:val="000D1D07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7002D"/>
    <w:rsid w:val="00176A62"/>
    <w:rsid w:val="00177A8C"/>
    <w:rsid w:val="0018136F"/>
    <w:rsid w:val="001A4424"/>
    <w:rsid w:val="001B79F9"/>
    <w:rsid w:val="001C0085"/>
    <w:rsid w:val="001C4214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70903"/>
    <w:rsid w:val="00296ED9"/>
    <w:rsid w:val="002B005C"/>
    <w:rsid w:val="002B2700"/>
    <w:rsid w:val="002C6927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53CDF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61F4D"/>
    <w:rsid w:val="00464964"/>
    <w:rsid w:val="00473BF7"/>
    <w:rsid w:val="0048125D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0E6F"/>
    <w:rsid w:val="005F7361"/>
    <w:rsid w:val="006074F0"/>
    <w:rsid w:val="00616B7F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E1AA8"/>
    <w:rsid w:val="006F015F"/>
    <w:rsid w:val="006F28C9"/>
    <w:rsid w:val="006F7C4C"/>
    <w:rsid w:val="007047E3"/>
    <w:rsid w:val="0072028B"/>
    <w:rsid w:val="00722AE7"/>
    <w:rsid w:val="00743A70"/>
    <w:rsid w:val="00753218"/>
    <w:rsid w:val="0077783D"/>
    <w:rsid w:val="007B66C8"/>
    <w:rsid w:val="007F3593"/>
    <w:rsid w:val="00814326"/>
    <w:rsid w:val="00827C7E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72795"/>
    <w:rsid w:val="00A72B59"/>
    <w:rsid w:val="00AB0937"/>
    <w:rsid w:val="00AF2473"/>
    <w:rsid w:val="00B05C13"/>
    <w:rsid w:val="00B15C2F"/>
    <w:rsid w:val="00B200E7"/>
    <w:rsid w:val="00B2726D"/>
    <w:rsid w:val="00B626F1"/>
    <w:rsid w:val="00B7691A"/>
    <w:rsid w:val="00B90F81"/>
    <w:rsid w:val="00BD0593"/>
    <w:rsid w:val="00BE408F"/>
    <w:rsid w:val="00BE6447"/>
    <w:rsid w:val="00BF063B"/>
    <w:rsid w:val="00BF1C0D"/>
    <w:rsid w:val="00C05128"/>
    <w:rsid w:val="00C1371F"/>
    <w:rsid w:val="00C14A3C"/>
    <w:rsid w:val="00C20B31"/>
    <w:rsid w:val="00C5690D"/>
    <w:rsid w:val="00C60E80"/>
    <w:rsid w:val="00C84781"/>
    <w:rsid w:val="00C86B6C"/>
    <w:rsid w:val="00C87CC5"/>
    <w:rsid w:val="00C934F5"/>
    <w:rsid w:val="00CB7AB2"/>
    <w:rsid w:val="00CC07F6"/>
    <w:rsid w:val="00CF6219"/>
    <w:rsid w:val="00D17DED"/>
    <w:rsid w:val="00D273D9"/>
    <w:rsid w:val="00D6290C"/>
    <w:rsid w:val="00D84483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57989"/>
    <w:rsid w:val="00F65C53"/>
    <w:rsid w:val="00F8060B"/>
    <w:rsid w:val="00F85D32"/>
    <w:rsid w:val="00FD7266"/>
    <w:rsid w:val="00F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uiPriority w:val="59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5449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11</cp:revision>
  <cp:lastPrinted>2016-03-16T08:38:00Z</cp:lastPrinted>
  <dcterms:created xsi:type="dcterms:W3CDTF">2015-03-13T08:01:00Z</dcterms:created>
  <dcterms:modified xsi:type="dcterms:W3CDTF">2016-03-16T08:44:00Z</dcterms:modified>
</cp:coreProperties>
</file>