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19" w:rsidRPr="002417A3" w:rsidRDefault="00791A02" w:rsidP="000C6619">
      <w:pPr>
        <w:pStyle w:val="ConsPlusNormal"/>
        <w:jc w:val="right"/>
        <w:outlineLvl w:val="1"/>
        <w:rPr>
          <w:szCs w:val="28"/>
        </w:rPr>
      </w:pPr>
      <w:r>
        <w:rPr>
          <w:szCs w:val="28"/>
        </w:rPr>
        <w:t>Приложение № 5</w:t>
      </w:r>
    </w:p>
    <w:p w:rsidR="00A121D2" w:rsidRPr="00201F1B" w:rsidRDefault="00A121D2" w:rsidP="00A121D2">
      <w:pPr>
        <w:pStyle w:val="ConsPlusNormal"/>
        <w:ind w:left="4678"/>
        <w:jc w:val="right"/>
        <w:outlineLvl w:val="1"/>
        <w:rPr>
          <w:szCs w:val="28"/>
        </w:rPr>
      </w:pPr>
      <w:r w:rsidRPr="00A121D2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2022 год и на плановый период 2023 и 2024 годов</w:t>
      </w: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p w:rsidR="000C6619" w:rsidRPr="000C6619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 w:rsidRPr="000C6619">
        <w:rPr>
          <w:rFonts w:ascii="Times New Roman" w:hAnsi="Times New Roman" w:cs="Times New Roman"/>
          <w:sz w:val="28"/>
          <w:szCs w:val="28"/>
        </w:rPr>
        <w:t xml:space="preserve">Состав обосновывающей документации, представляемой </w:t>
      </w:r>
      <w:r w:rsidR="0017795E">
        <w:rPr>
          <w:rFonts w:ascii="Times New Roman" w:hAnsi="Times New Roman" w:cs="Times New Roman"/>
          <w:sz w:val="28"/>
          <w:szCs w:val="28"/>
        </w:rPr>
        <w:t xml:space="preserve">федеральным государственным бюджетным учреждением, подведомственным Росводресурсам, на согласование </w:t>
      </w:r>
      <w:r w:rsidRPr="000C6619">
        <w:rPr>
          <w:rFonts w:ascii="Times New Roman" w:hAnsi="Times New Roman" w:cs="Times New Roman"/>
          <w:sz w:val="28"/>
          <w:szCs w:val="28"/>
        </w:rPr>
        <w:t>в территориальный орган Росводресурсов</w:t>
      </w:r>
      <w:r w:rsidR="002417A3">
        <w:rPr>
          <w:rFonts w:ascii="Times New Roman" w:hAnsi="Times New Roman" w:cs="Times New Roman"/>
          <w:sz w:val="28"/>
          <w:szCs w:val="28"/>
        </w:rPr>
        <w:t xml:space="preserve"> с последующим представлением указанной документации в Росводресурсы</w:t>
      </w:r>
    </w:p>
    <w:p w:rsidR="000C6619" w:rsidRPr="000C6619" w:rsidRDefault="000C6619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22"/>
        <w:gridCol w:w="2233"/>
        <w:gridCol w:w="2268"/>
      </w:tblGrid>
      <w:tr w:rsidR="000C6619" w:rsidRPr="000C6619" w:rsidTr="004B5729">
        <w:trPr>
          <w:tblHeader/>
        </w:trPr>
        <w:tc>
          <w:tcPr>
            <w:tcW w:w="4922" w:type="dxa"/>
            <w:vMerge w:val="restart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Название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501" w:type="dxa"/>
            <w:gridSpan w:val="2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Формат представления материалов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0C6619" w:rsidRPr="000C6619" w:rsidTr="004B5729">
        <w:trPr>
          <w:tblHeader/>
        </w:trPr>
        <w:tc>
          <w:tcPr>
            <w:tcW w:w="4922" w:type="dxa"/>
            <w:vMerge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 бумажном носителе</w:t>
            </w: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Посредством ввода данных в ИС «Планирование»</w:t>
            </w: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</w:t>
            </w:r>
            <w:proofErr w:type="gramStart"/>
            <w:r w:rsidRPr="000C6619">
              <w:rPr>
                <w:sz w:val="24"/>
                <w:szCs w:val="24"/>
              </w:rPr>
              <w:t>а(</w:t>
            </w:r>
            <w:proofErr w:type="gramEnd"/>
            <w:r w:rsidRPr="000C6619">
              <w:rPr>
                <w:sz w:val="24"/>
                <w:szCs w:val="24"/>
              </w:rPr>
              <w:t>ов)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Сведения БВУ о наличии заявляемого мероприятия в </w:t>
            </w:r>
            <w:proofErr w:type="gramStart"/>
            <w:r w:rsidRPr="000C6619">
              <w:rPr>
                <w:sz w:val="24"/>
                <w:szCs w:val="24"/>
              </w:rPr>
              <w:t>соответствующей</w:t>
            </w:r>
            <w:proofErr w:type="gramEnd"/>
            <w:r w:rsidRPr="000C6619">
              <w:rPr>
                <w:sz w:val="24"/>
                <w:szCs w:val="24"/>
              </w:rPr>
              <w:t xml:space="preserve"> СКИОВО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 xml:space="preserve">Справка МЧС России, распоряжение глав администраций о фактах введения режима чрезвычайной ситуации. Справка МЧС </w:t>
            </w:r>
            <w:r w:rsidRPr="000C6619">
              <w:rPr>
                <w:szCs w:val="24"/>
              </w:rPr>
              <w:lastRenderedPageBreak/>
              <w:t>России о затоплениях, разрушениях и ущербах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Заключение МЧС России о необходимости неотложного проведения строительных работ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C33FB9">
        <w:tc>
          <w:tcPr>
            <w:tcW w:w="4922" w:type="dxa"/>
          </w:tcPr>
          <w:p w:rsidR="00DB602F" w:rsidRPr="00966873" w:rsidRDefault="00DB602F" w:rsidP="00D4549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66873">
              <w:rPr>
                <w:rFonts w:cs="Times New Roman"/>
                <w:sz w:val="24"/>
                <w:szCs w:val="24"/>
              </w:rPr>
              <w:t xml:space="preserve">Титульный список переходящей стройки (согласно приложению </w:t>
            </w:r>
            <w:r>
              <w:rPr>
                <w:rFonts w:cs="Times New Roman"/>
                <w:sz w:val="24"/>
                <w:szCs w:val="24"/>
              </w:rPr>
              <w:t>10</w:t>
            </w:r>
            <w:r w:rsidRPr="00966873">
              <w:rPr>
                <w:rFonts w:cs="Times New Roman"/>
                <w:sz w:val="24"/>
                <w:szCs w:val="24"/>
              </w:rPr>
              <w:t>а)</w:t>
            </w:r>
          </w:p>
        </w:tc>
        <w:tc>
          <w:tcPr>
            <w:tcW w:w="2233" w:type="dxa"/>
          </w:tcPr>
          <w:p w:rsidR="00DB602F" w:rsidRPr="000C6619" w:rsidRDefault="00DB602F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C33FB9">
        <w:tc>
          <w:tcPr>
            <w:tcW w:w="4922" w:type="dxa"/>
          </w:tcPr>
          <w:p w:rsidR="00DB602F" w:rsidRPr="00966873" w:rsidRDefault="00DB602F" w:rsidP="00D4549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66873">
              <w:rPr>
                <w:rFonts w:cs="Times New Roman"/>
                <w:sz w:val="24"/>
                <w:szCs w:val="24"/>
              </w:rPr>
              <w:t xml:space="preserve">Титульный список вновь начинаемой стройки (согласно приложению </w:t>
            </w:r>
            <w:r>
              <w:rPr>
                <w:rFonts w:cs="Times New Roman"/>
                <w:sz w:val="24"/>
                <w:szCs w:val="24"/>
              </w:rPr>
              <w:t>10</w:t>
            </w:r>
            <w:r w:rsidRPr="00966873">
              <w:rPr>
                <w:rFonts w:cs="Times New Roman"/>
                <w:sz w:val="24"/>
                <w:szCs w:val="24"/>
              </w:rPr>
              <w:t>б)</w:t>
            </w:r>
          </w:p>
        </w:tc>
        <w:tc>
          <w:tcPr>
            <w:tcW w:w="2233" w:type="dxa"/>
          </w:tcPr>
          <w:p w:rsidR="00DB602F" w:rsidRPr="000C6619" w:rsidRDefault="00DB602F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966873" w:rsidRDefault="00DB602F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966873">
              <w:rPr>
                <w:rFonts w:cs="Times New Roman"/>
                <w:sz w:val="24"/>
                <w:szCs w:val="24"/>
              </w:rPr>
              <w:t xml:space="preserve">Бюджетная заявка на ассигнования за счет средств федерального бюджета (согласно приложению </w:t>
            </w:r>
            <w:r>
              <w:rPr>
                <w:rFonts w:cs="Times New Roman"/>
                <w:sz w:val="24"/>
                <w:szCs w:val="24"/>
              </w:rPr>
              <w:t>10</w:t>
            </w:r>
            <w:r w:rsidRPr="00966873">
              <w:rPr>
                <w:rFonts w:cs="Times New Roman"/>
                <w:sz w:val="24"/>
                <w:szCs w:val="24"/>
              </w:rPr>
              <w:t>в)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  <w:vAlign w:val="center"/>
          </w:tcPr>
          <w:p w:rsidR="00DB602F" w:rsidRPr="00966873" w:rsidRDefault="00DB602F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966873">
              <w:rPr>
                <w:szCs w:val="24"/>
              </w:rPr>
              <w:t xml:space="preserve">Копии договоров на разработку проектно-сметной документации с приложениями 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F0215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Сводный сметно-финансовый расчет и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0C6619">
              <w:rPr>
                <w:rFonts w:cs="Times New Roman"/>
                <w:sz w:val="24"/>
                <w:szCs w:val="24"/>
              </w:rPr>
              <w:t>водный сметный расчет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0C6619">
              <w:rPr>
                <w:rFonts w:cs="Times New Roman"/>
                <w:sz w:val="24"/>
                <w:szCs w:val="24"/>
              </w:rPr>
              <w:t>(копии)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положительного заключения государственной экспертизы по </w:t>
            </w:r>
          </w:p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на проектирование объекта капитального строительства в соответствии с приказом Минстроя России от 01.03.2018                       № 125/</w:t>
            </w:r>
            <w:proofErr w:type="gramStart"/>
            <w:r>
              <w:rPr>
                <w:rFonts w:cs="Times New Roman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Паспорт инвестиционного проекта, заполненный по форме, утвержденной Министерством экономического развития РФ </w:t>
            </w:r>
            <w:r w:rsidRPr="004F3980">
              <w:rPr>
                <w:rFonts w:cs="Times New Roman"/>
                <w:sz w:val="24"/>
                <w:szCs w:val="24"/>
              </w:rPr>
              <w:lastRenderedPageBreak/>
              <w:t>(приказ от 02.02.2014№ 199)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  <w:vAlign w:val="center"/>
          </w:tcPr>
          <w:p w:rsidR="00DB602F" w:rsidRPr="000C6619" w:rsidRDefault="00DB602F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lastRenderedPageBreak/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Выписка из ЕГРПО (ЕГРЮЛ) о регистрации предприятия (юридического лица)</w:t>
            </w:r>
            <w:r>
              <w:rPr>
                <w:rFonts w:cs="Times New Roman"/>
                <w:sz w:val="24"/>
                <w:szCs w:val="24"/>
              </w:rPr>
              <w:t>, выполняющего функции заказчика (застройщика)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свидетельства </w:t>
            </w:r>
            <w:proofErr w:type="gramStart"/>
            <w:r w:rsidRPr="000C6619">
              <w:rPr>
                <w:rFonts w:cs="Times New Roman"/>
                <w:sz w:val="24"/>
                <w:szCs w:val="24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0C6619">
              <w:rPr>
                <w:rFonts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 xml:space="preserve">Выписки из </w:t>
            </w:r>
            <w:r w:rsidRPr="000C6619">
              <w:rPr>
                <w:rFonts w:cs="Times New Roman"/>
                <w:bCs/>
                <w:sz w:val="24"/>
                <w:szCs w:val="24"/>
              </w:rPr>
              <w:t xml:space="preserve">Единого государственного реестра недвижимости о характеристиках объекта недвижимости, а также о зарегистрированных правах на объект </w:t>
            </w:r>
            <w:r w:rsidRPr="0017795E">
              <w:rPr>
                <w:rFonts w:cs="Times New Roman"/>
                <w:bCs/>
                <w:sz w:val="24"/>
                <w:szCs w:val="24"/>
              </w:rPr>
              <w:t xml:space="preserve">недвижимости (приказ Минэкономразвития России от 25.12.2015 № 975) </w:t>
            </w:r>
            <w:r w:rsidRPr="0017795E">
              <w:rPr>
                <w:rFonts w:cs="Times New Roman"/>
                <w:sz w:val="24"/>
                <w:szCs w:val="24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разрешения на строительство объекта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393D8C" w:rsidRDefault="00DB602F" w:rsidP="00393D8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7795E">
              <w:rPr>
                <w:rFonts w:cs="Times New Roman"/>
                <w:sz w:val="24"/>
                <w:szCs w:val="24"/>
              </w:rPr>
              <w:t xml:space="preserve">Заключение о проведении публичного технологического и ценового аудита  проектов, подготовленное в соответствии с </w:t>
            </w:r>
            <w:r w:rsidRPr="0017795E">
              <w:rPr>
                <w:sz w:val="24"/>
                <w:szCs w:val="24"/>
              </w:rPr>
              <w:t>постановлением Правительства Российской Федерации от 30.04.2013 № 382</w:t>
            </w:r>
            <w:r w:rsidRPr="0017795E">
              <w:rPr>
                <w:rFonts w:cs="Times New Roman"/>
                <w:sz w:val="24"/>
                <w:szCs w:val="24"/>
              </w:rPr>
              <w:t xml:space="preserve"> и требованиями законодательства Российской Федерации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F3980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Поручение Президента Российской Федерации и (или) Председателя Правительства Российской Федерации о </w:t>
            </w:r>
            <w:r>
              <w:rPr>
                <w:rFonts w:cs="Times New Roman"/>
                <w:sz w:val="24"/>
                <w:szCs w:val="24"/>
              </w:rPr>
              <w:t xml:space="preserve">необходимости реализации заявляемого объекта капитального строительства 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F3980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Судебное решение о необходимости реализации заявляемого объекта капитального строительства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Тест – </w:t>
            </w:r>
            <w:r w:rsidRPr="00730F26">
              <w:rPr>
                <w:rFonts w:cs="Times New Roman"/>
                <w:sz w:val="24"/>
                <w:szCs w:val="24"/>
              </w:rPr>
              <w:t xml:space="preserve">паспорт объекта, подготовленный в соответствии с Приказом Министерства экономического развития Российской </w:t>
            </w:r>
            <w:r w:rsidRPr="00351FCA">
              <w:rPr>
                <w:rFonts w:cs="Times New Roman"/>
                <w:sz w:val="24"/>
                <w:szCs w:val="24"/>
              </w:rPr>
              <w:t>Федерации от 27.03.2019 № 167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Документально подтвержденные сведения о проектах-аналогах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Сведения и количественные показатели результатов реализации инвестиционного проекта-аналога</w:t>
            </w:r>
            <w:r>
              <w:rPr>
                <w:rFonts w:cs="Times New Roman"/>
                <w:sz w:val="24"/>
                <w:szCs w:val="24"/>
              </w:rPr>
              <w:t xml:space="preserve">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DB602F" w:rsidRPr="000C6619" w:rsidTr="004B5729">
        <w:tc>
          <w:tcPr>
            <w:tcW w:w="4922" w:type="dxa"/>
          </w:tcPr>
          <w:p w:rsidR="00DB602F" w:rsidRPr="000C6619" w:rsidRDefault="00DB602F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2233" w:type="dxa"/>
          </w:tcPr>
          <w:p w:rsidR="00DB602F" w:rsidRPr="000C6619" w:rsidRDefault="00DB602F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DB602F" w:rsidRPr="000C6619" w:rsidRDefault="00DB602F" w:rsidP="004B5729">
            <w:pPr>
              <w:pStyle w:val="ConsPlusNormal"/>
              <w:rPr>
                <w:szCs w:val="28"/>
              </w:rPr>
            </w:pPr>
          </w:p>
        </w:tc>
      </w:tr>
    </w:tbl>
    <w:p w:rsidR="0056364A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sectPr w:rsidR="0056364A" w:rsidSect="00C93E7D">
      <w:pgSz w:w="11905" w:h="16838"/>
      <w:pgMar w:top="1134" w:right="850" w:bottom="1134" w:left="170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95E" w:rsidRDefault="0017795E" w:rsidP="00EF7ED6">
      <w:r>
        <w:separator/>
      </w:r>
    </w:p>
  </w:endnote>
  <w:endnote w:type="continuationSeparator" w:id="0">
    <w:p w:rsidR="0017795E" w:rsidRDefault="0017795E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95E" w:rsidRDefault="0017795E" w:rsidP="00EF7ED6">
      <w:r>
        <w:separator/>
      </w:r>
    </w:p>
  </w:footnote>
  <w:footnote w:type="continuationSeparator" w:id="0">
    <w:p w:rsidR="0017795E" w:rsidRDefault="0017795E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101F54"/>
    <w:rsid w:val="00107ABF"/>
    <w:rsid w:val="0011272C"/>
    <w:rsid w:val="001153E1"/>
    <w:rsid w:val="00115C09"/>
    <w:rsid w:val="00123F00"/>
    <w:rsid w:val="0013235D"/>
    <w:rsid w:val="00151A68"/>
    <w:rsid w:val="001520E1"/>
    <w:rsid w:val="00157320"/>
    <w:rsid w:val="00172847"/>
    <w:rsid w:val="00173913"/>
    <w:rsid w:val="001770CA"/>
    <w:rsid w:val="0017795E"/>
    <w:rsid w:val="00180012"/>
    <w:rsid w:val="00180C35"/>
    <w:rsid w:val="001B4930"/>
    <w:rsid w:val="001C39EE"/>
    <w:rsid w:val="001E21E8"/>
    <w:rsid w:val="001E6479"/>
    <w:rsid w:val="00201F1B"/>
    <w:rsid w:val="00215BE7"/>
    <w:rsid w:val="00217102"/>
    <w:rsid w:val="002417A3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1FCA"/>
    <w:rsid w:val="00352DF2"/>
    <w:rsid w:val="003677E1"/>
    <w:rsid w:val="00374EF2"/>
    <w:rsid w:val="00393D8C"/>
    <w:rsid w:val="003B44D4"/>
    <w:rsid w:val="003B63E7"/>
    <w:rsid w:val="003C58A2"/>
    <w:rsid w:val="00417C3A"/>
    <w:rsid w:val="00450B5D"/>
    <w:rsid w:val="0048648E"/>
    <w:rsid w:val="004B3D93"/>
    <w:rsid w:val="004B5729"/>
    <w:rsid w:val="004B632A"/>
    <w:rsid w:val="004C31CC"/>
    <w:rsid w:val="004E0E31"/>
    <w:rsid w:val="004E1E0E"/>
    <w:rsid w:val="004F3980"/>
    <w:rsid w:val="0050103E"/>
    <w:rsid w:val="0051097B"/>
    <w:rsid w:val="00520660"/>
    <w:rsid w:val="0053635B"/>
    <w:rsid w:val="00551A7D"/>
    <w:rsid w:val="00552923"/>
    <w:rsid w:val="0056364A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966DB"/>
    <w:rsid w:val="006E2BB9"/>
    <w:rsid w:val="006F3C58"/>
    <w:rsid w:val="00711C99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91A02"/>
    <w:rsid w:val="007D75DD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93409C"/>
    <w:rsid w:val="009521BB"/>
    <w:rsid w:val="00966873"/>
    <w:rsid w:val="00970C0B"/>
    <w:rsid w:val="00985E03"/>
    <w:rsid w:val="009900C2"/>
    <w:rsid w:val="00995C1F"/>
    <w:rsid w:val="009A40B6"/>
    <w:rsid w:val="009A503D"/>
    <w:rsid w:val="009C31AE"/>
    <w:rsid w:val="009C4C3F"/>
    <w:rsid w:val="009F320A"/>
    <w:rsid w:val="00A01367"/>
    <w:rsid w:val="00A1035E"/>
    <w:rsid w:val="00A121D2"/>
    <w:rsid w:val="00A12604"/>
    <w:rsid w:val="00A178AC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D52B5"/>
    <w:rsid w:val="00B03E68"/>
    <w:rsid w:val="00B315C2"/>
    <w:rsid w:val="00B471A4"/>
    <w:rsid w:val="00B51848"/>
    <w:rsid w:val="00B61117"/>
    <w:rsid w:val="00B81130"/>
    <w:rsid w:val="00B87EC2"/>
    <w:rsid w:val="00B91B75"/>
    <w:rsid w:val="00B94D87"/>
    <w:rsid w:val="00B96ADB"/>
    <w:rsid w:val="00BB2CF3"/>
    <w:rsid w:val="00BD3723"/>
    <w:rsid w:val="00C117B8"/>
    <w:rsid w:val="00C12375"/>
    <w:rsid w:val="00C26B25"/>
    <w:rsid w:val="00C46F2F"/>
    <w:rsid w:val="00C71329"/>
    <w:rsid w:val="00C75556"/>
    <w:rsid w:val="00C777D2"/>
    <w:rsid w:val="00C86847"/>
    <w:rsid w:val="00C868F7"/>
    <w:rsid w:val="00C93E7D"/>
    <w:rsid w:val="00CD1B59"/>
    <w:rsid w:val="00D3000C"/>
    <w:rsid w:val="00D426DE"/>
    <w:rsid w:val="00D448BE"/>
    <w:rsid w:val="00D57ED4"/>
    <w:rsid w:val="00DB602F"/>
    <w:rsid w:val="00DB7498"/>
    <w:rsid w:val="00DC372D"/>
    <w:rsid w:val="00DC3F73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76AB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F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CF4FC7-C6CE-4D85-9AD6-1101A56A6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5</Pages>
  <Words>821</Words>
  <Characters>4682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Менщикова Светлана Андреевна</cp:lastModifiedBy>
  <cp:revision>87</cp:revision>
  <cp:lastPrinted>2020-02-04T16:26:00Z</cp:lastPrinted>
  <dcterms:created xsi:type="dcterms:W3CDTF">2020-02-03T13:08:00Z</dcterms:created>
  <dcterms:modified xsi:type="dcterms:W3CDTF">2020-11-03T10:34:00Z</dcterms:modified>
</cp:coreProperties>
</file>