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D7" w:rsidRPr="00B277D7" w:rsidRDefault="00B277D7" w:rsidP="00B277D7">
      <w:pPr>
        <w:jc w:val="center"/>
        <w:rPr>
          <w:sz w:val="28"/>
          <w:szCs w:val="28"/>
        </w:rPr>
      </w:pPr>
      <w:r>
        <w:rPr>
          <w:sz w:val="28"/>
          <w:szCs w:val="28"/>
        </w:rPr>
        <w:t>ОБЗОР ОБРАЩЕНИЙ ГРАЖДАН</w:t>
      </w:r>
      <w:r w:rsidRPr="00B277D7">
        <w:rPr>
          <w:sz w:val="28"/>
          <w:szCs w:val="28"/>
        </w:rPr>
        <w:t xml:space="preserve"> за </w:t>
      </w:r>
      <w:r w:rsidR="00ED5204">
        <w:rPr>
          <w:sz w:val="28"/>
          <w:szCs w:val="28"/>
        </w:rPr>
        <w:t>1 квартал 2015 года</w:t>
      </w:r>
    </w:p>
    <w:p w:rsidR="00B277D7" w:rsidRDefault="00B277D7" w:rsidP="00B277D7">
      <w:pPr>
        <w:jc w:val="both"/>
        <w:rPr>
          <w:sz w:val="28"/>
          <w:szCs w:val="28"/>
        </w:rPr>
      </w:pPr>
    </w:p>
    <w:p w:rsidR="00ED5204" w:rsidRDefault="00ED5204" w:rsidP="00ED52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1 квартал 2015 года в центральном аппарате Управления, как и в отделах водных ресурсов по зоне деятельности Донского БВУ велась плановая работа с обращениями граждан по вопросам, входящим в компетенцию Управления.  Всего за 1 квартал по зоне деятельности Донского БВУ в Управление поступило 66 письменных обращения граждан, на личном приеме принято 15 граждан. На официальный интернет-сайт Донского БВУ поступило 6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обращений.</w:t>
      </w:r>
    </w:p>
    <w:p w:rsidR="00ED5204" w:rsidRDefault="00ED5204" w:rsidP="00ED52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ED5204" w:rsidRDefault="00ED5204" w:rsidP="00ED52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водных объектов для частного рыборазведения и в рекреационных целях (4 гражданина принято на личном приеме);</w:t>
      </w:r>
    </w:p>
    <w:p w:rsidR="00ED5204" w:rsidRDefault="00ED5204" w:rsidP="00ED52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соблюдение водного законодательства при осуществлении промышленного и гражданского строительства, хозяйственной деятельности вблизи водных объектов (на личном приеме принят 1 гражданин, 14 письменных обращений);</w:t>
      </w:r>
    </w:p>
    <w:p w:rsidR="00ED5204" w:rsidRDefault="00ED5204" w:rsidP="00ED52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сведений о водных объектах из Государственного водного реестра при оформлении права пользования водными объектами (принято 6 письменных обращения);</w:t>
      </w:r>
    </w:p>
    <w:p w:rsidR="00ED5204" w:rsidRDefault="00ED5204" w:rsidP="00ED52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размеры водоохранных зон, береговых полос, режима их использования (на личном приеме принят 1 гражданин и 4 письменных обращения);</w:t>
      </w:r>
    </w:p>
    <w:p w:rsidR="00ED5204" w:rsidRDefault="00ED5204" w:rsidP="00ED52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в частную собственность прудов, обводненных карьеров, в том числе порядка оформления ГТС прудов в собственность и аренды земельных участков под водой физическими и юридическими лицами (на личном приеме приняты 2 гражданина и 3 письменных обращения);</w:t>
      </w:r>
    </w:p>
    <w:p w:rsidR="00ED5204" w:rsidRDefault="00ED5204" w:rsidP="00ED520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права пользования водными объектами. Правила оформления договора водопользования и решения на право пользования водными объектами (на личном приеме приняты 4 гражданина и 2</w:t>
      </w:r>
      <w:r>
        <w:rPr>
          <w:color w:val="FF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письменных</w:t>
      </w:r>
      <w:proofErr w:type="gramEnd"/>
      <w:r>
        <w:rPr>
          <w:sz w:val="28"/>
          <w:szCs w:val="28"/>
        </w:rPr>
        <w:t xml:space="preserve"> обращения).</w:t>
      </w:r>
    </w:p>
    <w:p w:rsidR="00ED5204" w:rsidRDefault="00ED5204" w:rsidP="00ED5204">
      <w:pPr>
        <w:jc w:val="both"/>
        <w:rPr>
          <w:sz w:val="28"/>
          <w:szCs w:val="28"/>
        </w:rPr>
      </w:pPr>
    </w:p>
    <w:p w:rsidR="00ED5204" w:rsidRDefault="00ED5204" w:rsidP="00ED5204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Анализ проблем, являющихся причинами обращений граждан, показывает, что подавляющее число обращений связано с практикой применения действующего водного законодательства,  в большинстве своем связанных со строительством и эксплуатацией искусственных водоемов (прудов), об использовании водных объектов общего пользования для рыборазведения, о приобретении права пользования водными объектами, о правилах оформления договора водопользования и решения на право пользования водными объектами. </w:t>
      </w:r>
      <w:proofErr w:type="gramEnd"/>
    </w:p>
    <w:p w:rsidR="00ED5204" w:rsidRDefault="00ED5204" w:rsidP="00ED5204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социальной тематике, граждан обратившихся с вопросами трудоустройства принято 10 человек, подтверждения трудового стажа для назначения пенсии 1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</w:p>
    <w:p w:rsidR="00ED5204" w:rsidRDefault="00ED5204" w:rsidP="00ED52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Примеры обращений граждан:</w:t>
      </w:r>
    </w:p>
    <w:p w:rsidR="00ED5204" w:rsidRDefault="00ED5204" w:rsidP="00ED52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Поступило обращение жителей </w:t>
      </w:r>
      <w:proofErr w:type="spellStart"/>
      <w:r>
        <w:rPr>
          <w:sz w:val="28"/>
          <w:szCs w:val="28"/>
        </w:rPr>
        <w:t>Опекинского</w:t>
      </w:r>
      <w:proofErr w:type="spellEnd"/>
      <w:r>
        <w:rPr>
          <w:sz w:val="28"/>
          <w:szCs w:val="28"/>
        </w:rPr>
        <w:t xml:space="preserve"> сельского поселения Пролетарского района Ростовской области обратились</w:t>
      </w:r>
      <w:proofErr w:type="gramEnd"/>
      <w:r>
        <w:rPr>
          <w:sz w:val="28"/>
          <w:szCs w:val="28"/>
        </w:rPr>
        <w:t xml:space="preserve"> в адрес управления по вопросу незаконных действий ООО «Раздолье». </w:t>
      </w:r>
      <w:proofErr w:type="gramStart"/>
      <w:r>
        <w:rPr>
          <w:sz w:val="28"/>
          <w:szCs w:val="28"/>
        </w:rPr>
        <w:t>В рамках действующего законодательства и в пределах своей компетенции Донское БВУ направило ответ: внутри бассейна реки Дон осуществляется переброска речного стока посредством Донского магистрального канала (ДМК), подающего воду из Цимлянского водохранилища на орошение южных и юго-восточных районов Ростовской области и подпитку Манычских водохранилищ.</w:t>
      </w:r>
      <w:proofErr w:type="gramEnd"/>
      <w:r>
        <w:rPr>
          <w:sz w:val="28"/>
          <w:szCs w:val="28"/>
        </w:rPr>
        <w:t xml:space="preserve"> Согласно решению о предоставлении водного объекта в пользование, выданному управлением Донском филиалу ФГБУ «Управление «</w:t>
      </w:r>
      <w:proofErr w:type="spellStart"/>
      <w:r>
        <w:rPr>
          <w:sz w:val="28"/>
          <w:szCs w:val="28"/>
        </w:rPr>
        <w:t>Ростовмелиоводхоз</w:t>
      </w:r>
      <w:proofErr w:type="spellEnd"/>
      <w:r>
        <w:rPr>
          <w:sz w:val="28"/>
          <w:szCs w:val="28"/>
        </w:rPr>
        <w:t xml:space="preserve">», перераспределение стока пресной воды для рассоления каскада Манычских водохранилищ осуществляется из Цимлянского водохранилища по системе Донского магистрального канала в Пролетарское водохранилище через концевой сброс Пролетарской ветви ДМК. В соответствии с «Временными правилами эксплуатации Пролетарского, Веселовского и Усть-Манычского водохранилища»,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Ростов-на-Дону, 1991 г., подача воды из реки Дон (Цимлянское водохранилище) в реку Западный Маныч с целью снижения минерализации воды в Манычских водохранилищах (Пролетарского и Веселовского) должна обеспечиваться в объемах не менее 307.00 млн.м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В летнее-осеннюю межень перераспределение стока пресной воды по системе Донского магистрального канала для рассоления Пролетарского водохранилища в 2013 году составило 22 млн.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bscript"/>
        </w:rPr>
        <w:t xml:space="preserve">, </w:t>
      </w:r>
      <w:r>
        <w:rPr>
          <w:sz w:val="28"/>
          <w:szCs w:val="28"/>
        </w:rPr>
        <w:t>в 2014 – 25.6 млн.м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Часть водоподающего тракта Пролетарского канала, осуществляющего переброску стока в Пролетарское водохранилище, проходит по естественным водным объектам (балка Солонка – лиман Черпак – река Козинка) и имеет шлюзы-регуляторы. ООО «Раздолье» была получена лицензия на право пользования поверхностными водными объектами, сроком действия до 03.07.2009 года, цель водопользования – рыбное хозяйство, эксплуатация ГТС. В настоящее время согласно материалам к принятому решению о предоставлении водного объекта в пользование Донскому филиалу ФГБУ «Управление «</w:t>
      </w:r>
      <w:proofErr w:type="spellStart"/>
      <w:r>
        <w:rPr>
          <w:sz w:val="28"/>
          <w:szCs w:val="28"/>
        </w:rPr>
        <w:t>Ростовмелиоводхоз</w:t>
      </w:r>
      <w:proofErr w:type="spellEnd"/>
      <w:r>
        <w:rPr>
          <w:sz w:val="28"/>
          <w:szCs w:val="28"/>
        </w:rPr>
        <w:t>», ООО «Раздолье» не является заявителем на подачу воды, объем которой определяется календарным планом водопользования, утвержденным ФГБУ «Управление «</w:t>
      </w:r>
      <w:proofErr w:type="spellStart"/>
      <w:r>
        <w:rPr>
          <w:sz w:val="28"/>
          <w:szCs w:val="28"/>
        </w:rPr>
        <w:t>Ростовмелиоводхоз</w:t>
      </w:r>
      <w:proofErr w:type="spellEnd"/>
      <w:r>
        <w:rPr>
          <w:sz w:val="28"/>
          <w:szCs w:val="28"/>
        </w:rPr>
        <w:t xml:space="preserve">». </w:t>
      </w:r>
      <w:proofErr w:type="gramStart"/>
      <w:r>
        <w:rPr>
          <w:sz w:val="28"/>
          <w:szCs w:val="28"/>
        </w:rPr>
        <w:t>По данным материалов инвентаризации гидротехнических сооружений, выполненной в 2006 году ООО НТЦ «Геотехника» (г. Шахты) по заданию Комитета по охране окружающей среды и природных ресурсов Администрации Ростовской области объем указанного водохранилища при НПУ составляет 3.6 млн.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площадь водного зеркала при НПУ – 318 га, максимальный напор – 1.1.м. Из вышеизложенного, ООО «Раздолье» неправомерно перекрывает гидротехническое сооружение грунтом в целях поднятия</w:t>
      </w:r>
      <w:proofErr w:type="gramEnd"/>
      <w:r>
        <w:rPr>
          <w:sz w:val="28"/>
          <w:szCs w:val="28"/>
        </w:rPr>
        <w:t xml:space="preserve"> уровня воды. Что приводит к нарушению режима подачи воды в Пролетарское водохранилище и разрушению берегов водохранилища у п. Опенки. </w:t>
      </w:r>
    </w:p>
    <w:p w:rsidR="00ED5204" w:rsidRDefault="00ED5204" w:rsidP="00ED520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Поступило обращение Чернова И.А. с вопросом: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 xml:space="preserve">По результатам конкурса со мной был заключен договор о предоставлении в пользование </w:t>
      </w:r>
      <w:r>
        <w:rPr>
          <w:sz w:val="28"/>
          <w:szCs w:val="28"/>
        </w:rPr>
        <w:lastRenderedPageBreak/>
        <w:t xml:space="preserve">водного объекта для целей аквакультуры (рыбоводства). В соответствии со ст. 38 Водного кодекса РФ указанные водные объекты </w:t>
      </w:r>
      <w:proofErr w:type="gramStart"/>
      <w:r>
        <w:rPr>
          <w:sz w:val="28"/>
          <w:szCs w:val="28"/>
        </w:rPr>
        <w:t>представляются в обособленное пользование</w:t>
      </w:r>
      <w:proofErr w:type="gramEnd"/>
      <w:r>
        <w:rPr>
          <w:sz w:val="28"/>
          <w:szCs w:val="28"/>
        </w:rPr>
        <w:t xml:space="preserve">. В связи с </w:t>
      </w:r>
      <w:proofErr w:type="gramStart"/>
      <w:r>
        <w:rPr>
          <w:sz w:val="28"/>
          <w:szCs w:val="28"/>
        </w:rPr>
        <w:t>вышеперечисленным</w:t>
      </w:r>
      <w:proofErr w:type="gramEnd"/>
      <w:r>
        <w:rPr>
          <w:sz w:val="28"/>
          <w:szCs w:val="28"/>
        </w:rPr>
        <w:t xml:space="preserve"> прошу Вас разъяснить процедуру перевода в обособленное пользование водного объекта со ссылкой на нормативные правовые акты.</w:t>
      </w:r>
    </w:p>
    <w:p w:rsidR="00ED5204" w:rsidRDefault="00ED5204" w:rsidP="00ED52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прошу указать, где можно найти реестр договоров водопользования». В рамках действующего законодательства гражданину Чернову И.А. направлен ответ: </w:t>
      </w:r>
    </w:p>
    <w:p w:rsidR="00ED5204" w:rsidRDefault="00ED5204" w:rsidP="00ED5204">
      <w:pPr>
        <w:pStyle w:val="1"/>
        <w:shd w:val="clear" w:color="auto" w:fill="auto"/>
        <w:spacing w:before="0" w:line="240" w:lineRule="auto"/>
        <w:ind w:left="20" w:right="20"/>
        <w:rPr>
          <w:b/>
          <w:sz w:val="28"/>
          <w:szCs w:val="28"/>
        </w:rPr>
      </w:pPr>
      <w:r w:rsidRPr="00D270AF">
        <w:rPr>
          <w:rFonts w:ascii="Times New Roman" w:hAnsi="Times New Roman" w:cs="Times New Roman"/>
          <w:sz w:val="28"/>
          <w:szCs w:val="28"/>
        </w:rPr>
        <w:t xml:space="preserve">Необходимость предоставления водного объекта в пользование для забора (изъятия) водных ресурсов из водных объектов и их сброса при осуществлении аквакультуры (рыбоводства) установлена п.2 ст. 11 Водного кодекса РФ на основании решения о предоставлении водного объекта в пользование. Заключение договора водопользования на указанные цели действующим законодательством не предусмотрено. Порядок подготовки и представления документов для получения права пользования водным объектом установлен ст.21-23 ВК РФ и Правилами подготовки и принятия решения о предоставлении водного объекта в пользование, утвержденными Постановлением Правительства РФ от 30.12.2006 г. № 844. Заключение договора о предоставлении водного объекта в пользование по результатам аукциона (указано в тексте автора обращения) и процедура перевода в обособленное пользование водного объекта, противоречат требованиям действующего законодательства. </w:t>
      </w:r>
      <w:proofErr w:type="gramStart"/>
      <w:r w:rsidRPr="00D270AF">
        <w:rPr>
          <w:rFonts w:ascii="Times New Roman" w:hAnsi="Times New Roman" w:cs="Times New Roman"/>
          <w:sz w:val="28"/>
          <w:szCs w:val="28"/>
        </w:rPr>
        <w:t>Пп.2 ст. 38 Водного кодекса определено, что обособленное водопользование может осуществляться на водных объектах или их частях, находящихся в собственности физических лиц, юридических лиц, водных объектах или их частях, находящихся в государственной или муниципальной собственности и предоставленных для обеспечения обороны страны и безопасности государства, иных государственных или муниципальных нужд, обеспечение которых исключает использование водных объектов или их частей другими</w:t>
      </w:r>
      <w:proofErr w:type="gramEnd"/>
      <w:r w:rsidRPr="00D270AF">
        <w:rPr>
          <w:rFonts w:ascii="Times New Roman" w:hAnsi="Times New Roman" w:cs="Times New Roman"/>
          <w:sz w:val="28"/>
          <w:szCs w:val="28"/>
        </w:rPr>
        <w:t xml:space="preserve"> физическими лицами, юридическими лицами, а также для осуществления аквакультуры (рыбоводства). Предоставление в пользование водных объектов, находящихся в федеральной собственности, для обеспечения обороны страны и безопасности государства осуществляется на основании решения Правительства Российской Федерации. Реестр правоустанавливающих документов на право пользования водными объектами, предоставленных Донским БВУ, в том числе договоров водопользования, размещен на официальном сайте управления по адресу:</w:t>
      </w:r>
      <w:r>
        <w:rPr>
          <w:sz w:val="28"/>
          <w:szCs w:val="28"/>
        </w:rPr>
        <w:t xml:space="preserve"> </w:t>
      </w:r>
      <w:hyperlink r:id="rId5" w:history="1">
        <w:r>
          <w:rPr>
            <w:rStyle w:val="a4"/>
            <w:sz w:val="28"/>
            <w:szCs w:val="28"/>
            <w:lang w:val="en-US"/>
          </w:rPr>
          <w:t>www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donbvu</w:t>
        </w:r>
        <w:r>
          <w:rPr>
            <w:rStyle w:val="a4"/>
            <w:sz w:val="28"/>
            <w:szCs w:val="28"/>
          </w:rPr>
          <w:t>.</w:t>
        </w:r>
        <w:r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ED5204" w:rsidRDefault="00ED5204" w:rsidP="00ED52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ОВР по Тамбовской области поступило обращение гражданина </w:t>
      </w:r>
      <w:proofErr w:type="spellStart"/>
      <w:r>
        <w:rPr>
          <w:sz w:val="28"/>
          <w:szCs w:val="28"/>
        </w:rPr>
        <w:t>Бытчуткина</w:t>
      </w:r>
      <w:proofErr w:type="spellEnd"/>
      <w:r>
        <w:rPr>
          <w:sz w:val="28"/>
          <w:szCs w:val="28"/>
        </w:rPr>
        <w:t xml:space="preserve"> С.И. с вопросом о целесообразности и законности возведения плотины на р. Битюг в р.п. Мордово Тамбовской области. Гражданину </w:t>
      </w:r>
      <w:proofErr w:type="spellStart"/>
      <w:r>
        <w:rPr>
          <w:sz w:val="28"/>
          <w:szCs w:val="28"/>
        </w:rPr>
        <w:t>Бытчуткину</w:t>
      </w:r>
      <w:proofErr w:type="spellEnd"/>
      <w:r>
        <w:rPr>
          <w:sz w:val="28"/>
          <w:szCs w:val="28"/>
        </w:rPr>
        <w:t xml:space="preserve"> направлен ответ в рамках действующего законодательства: строительство подпорной плотины на реке Битюг осуществляется в рамках реализации Программы развития агропромышленного комплекса, а также в </w:t>
      </w:r>
      <w:r>
        <w:rPr>
          <w:sz w:val="28"/>
          <w:szCs w:val="28"/>
        </w:rPr>
        <w:lastRenderedPageBreak/>
        <w:t xml:space="preserve">целях исполнения распоряжения Правительства РФ от 30.07.2009 № 1072-р «об утверждении паспорта регионального инвестиционного проекта «первая очередь программы развития АПК Тамбовской области». В соответствии с вышеуказанными документами осуществляется строительство Мордовского сахарного завода, его инженерной и транспортной инфраструктуры. Для водоснабжения сахарного завода с 2009 года ведется строительство системы технического водоснабжения, в которую входит и гидротехническое сооружение (подпорная плотина) на реке Битюг. </w:t>
      </w:r>
      <w:proofErr w:type="gramStart"/>
      <w:r>
        <w:rPr>
          <w:sz w:val="28"/>
          <w:szCs w:val="28"/>
        </w:rPr>
        <w:t>По информации Воронежского ЦГМС – филиала ФГБУ «Центрально-Черноземное УГМС» в 2014 году на всех реках Воронежской области отмечался низкий уровень воды, обусловленный низкой водностью и дефицитом осадков (объем половодья на реке Битюг  составил 88% от нормы, осадки в течение всего меженного периода от 3 до 82% нормы).</w:t>
      </w:r>
      <w:proofErr w:type="gramEnd"/>
    </w:p>
    <w:p w:rsidR="00ED5204" w:rsidRDefault="00ED5204" w:rsidP="00ED52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Поступило обращение гражданина Селиванова А.В. с вопросом: является ли коллектор, в котором заключено 70м реки Студенец гидротехническим сооружением и в соответсвиии с какими нормативными документами регулируются процессы установки и использования данного коллектора. Гражданину Селиванову направлен ответ в рамках полномочий ОВР по Тамбовской области и в соответствии с действующим законодательством: Согласно ст. 3 федерального закона от 21.07.1997 № 117-ФЗ «О безопасности гидротехнических сооружений» коллектор, в котором заключено 70 метров р. Студенец, является гидротехническим сооружением. Во исполнение ст. 42 Водного Кодекса РФ при использовании водных объектов, входящих в водохозяйственные системы, к которым относится река Студенец, не допускается изменение водного режима этих водных объектов, которое может провести к нарушению прав третьих лиц. Работы по изменению или обустройству природного водоема или водотока проводятся при условии сохранении его естественного происхождения.</w:t>
      </w:r>
    </w:p>
    <w:p w:rsidR="00ED5204" w:rsidRDefault="00ED5204" w:rsidP="00ED52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личном приеме заместителями руководителя - начальниками территориальных отделов Донского БВУ за 1 квартал 2015 года принято 15 граждан. Гражданам подробно разъясняются положения Водного кодекса РФ, а также других нормативных актов, порядок предоставления водных объектов в пользование, даются разъяснения по вопросу разграничения  прав собственности на водные объекты, условия для пользования водными объектами с целью рыборазведения и по другим тематикам обращений. Все обращения граждан рассмотрены  в установленные сроки. Обеспечены возможности передачи обращений граждан в отделы водных ресурсов по факсимильной связи и по электронной почте.</w:t>
      </w:r>
    </w:p>
    <w:p w:rsidR="00ED5204" w:rsidRDefault="00ED5204" w:rsidP="00ED52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личного приема граждан установлены дни и часы приема, информация о графике приема граждан руководителем и заместителями руководителя размещена на официальном сайте Донского БВУ. Адресная информация Управления и территориальных  отделов  Управления опубликована на сайте Донского БВУ, в справочниках Правительства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Ростова-на-Дону и городов размещения отделов водных ресурсов.</w:t>
      </w:r>
    </w:p>
    <w:p w:rsidR="00ED5204" w:rsidRDefault="00ED5204" w:rsidP="00ED5204">
      <w:pPr>
        <w:pStyle w:val="msonormalbullet2gi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Рассмотрение письменных и устных обращений граждан  осуществляется в соответствии с Конституцией Российской Федерации; Федеральным законом Российской Федерации от 02.05.2006 № 59-ФЗ «О порядке рассмотрения обращений граждан в Российской Федерации», контролируется руководителем заместителями руководителя по территории ответственности Донского БВУ. </w:t>
      </w:r>
      <w:r>
        <w:tab/>
      </w:r>
    </w:p>
    <w:p w:rsidR="00ED5204" w:rsidRDefault="00ED5204" w:rsidP="00ED52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центральном аппарате Управления, как и в Отделах водных ресурсов Донского БВУ, назначены ответственные исполнители за качество информационно-аналитической работы по проблемам, являющихся причинами обращения граждан. Ответственными исполнителями ведется журнал учета личного приема граждан, журнал регистрации письменных обращений. Ежеквартально отделами водных ресурсов в Управление представляется отчетная информация о наличии обращений граждан. Проводится анализ причин и тематики обращений граждан.</w:t>
      </w:r>
    </w:p>
    <w:p w:rsidR="00ED5204" w:rsidRDefault="00ED5204" w:rsidP="00ED52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Обращений граждан по фактам коррупционных проявлений либо злоупотреблений должностными полномочиями гражданских служащих Донского БВУ не зафиксировано.</w:t>
      </w:r>
    </w:p>
    <w:p w:rsidR="00B277D7" w:rsidRDefault="00B277D7" w:rsidP="00ED5204">
      <w:pPr>
        <w:ind w:firstLine="720"/>
        <w:jc w:val="both"/>
        <w:rPr>
          <w:sz w:val="28"/>
        </w:rPr>
      </w:pPr>
    </w:p>
    <w:sectPr w:rsidR="00B277D7" w:rsidSect="00C04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E26"/>
    <w:multiLevelType w:val="hybridMultilevel"/>
    <w:tmpl w:val="2D0813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7D7"/>
    <w:rsid w:val="000259AC"/>
    <w:rsid w:val="0017490C"/>
    <w:rsid w:val="00283A8E"/>
    <w:rsid w:val="00302418"/>
    <w:rsid w:val="00584054"/>
    <w:rsid w:val="00704E30"/>
    <w:rsid w:val="00867D8F"/>
    <w:rsid w:val="008E092A"/>
    <w:rsid w:val="00957B63"/>
    <w:rsid w:val="00B277D7"/>
    <w:rsid w:val="00BE75E9"/>
    <w:rsid w:val="00C04549"/>
    <w:rsid w:val="00C21584"/>
    <w:rsid w:val="00C4369B"/>
    <w:rsid w:val="00C66A09"/>
    <w:rsid w:val="00D270AF"/>
    <w:rsid w:val="00D408D0"/>
    <w:rsid w:val="00D81014"/>
    <w:rsid w:val="00D8535A"/>
    <w:rsid w:val="00E5386B"/>
    <w:rsid w:val="00ED5204"/>
    <w:rsid w:val="00FA2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D7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277D7"/>
    <w:pPr>
      <w:spacing w:before="100" w:beforeAutospacing="1" w:after="100" w:afterAutospacing="1"/>
    </w:pPr>
    <w:rPr>
      <w:sz w:val="24"/>
      <w:szCs w:val="24"/>
    </w:rPr>
  </w:style>
  <w:style w:type="paragraph" w:customStyle="1" w:styleId="FR2">
    <w:name w:val="FR2"/>
    <w:rsid w:val="00B277D7"/>
    <w:pPr>
      <w:widowControl w:val="0"/>
      <w:snapToGrid w:val="0"/>
      <w:spacing w:before="120" w:after="0" w:line="398" w:lineRule="auto"/>
      <w:ind w:left="160" w:right="3800" w:firstLine="0"/>
      <w:jc w:val="center"/>
    </w:pPr>
    <w:rPr>
      <w:rFonts w:ascii="Times New Roman" w:eastAsia="Times New Roman" w:hAnsi="Times New Roman" w:cs="Times New Roman"/>
      <w:sz w:val="12"/>
      <w:szCs w:val="20"/>
      <w:lang w:eastAsia="ru-RU"/>
    </w:rPr>
  </w:style>
  <w:style w:type="paragraph" w:customStyle="1" w:styleId="msonormalbullet2gif">
    <w:name w:val="msonormalbullet2.gif"/>
    <w:basedOn w:val="a"/>
    <w:rsid w:val="00B277D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semiHidden/>
    <w:unhideWhenUsed/>
    <w:rsid w:val="00ED5204"/>
    <w:rPr>
      <w:color w:val="0000FF"/>
      <w:u w:val="single"/>
    </w:rPr>
  </w:style>
  <w:style w:type="character" w:customStyle="1" w:styleId="a5">
    <w:name w:val="Основной текст_"/>
    <w:basedOn w:val="a0"/>
    <w:link w:val="1"/>
    <w:locked/>
    <w:rsid w:val="00ED5204"/>
    <w:rPr>
      <w:spacing w:val="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5"/>
    <w:rsid w:val="00ED5204"/>
    <w:pPr>
      <w:shd w:val="clear" w:color="auto" w:fill="FFFFFF"/>
      <w:spacing w:before="720" w:line="480" w:lineRule="exact"/>
      <w:jc w:val="both"/>
    </w:pPr>
    <w:rPr>
      <w:rFonts w:asciiTheme="minorHAnsi" w:eastAsiaTheme="minorHAnsi" w:hAnsiTheme="minorHAnsi" w:cstheme="minorBidi"/>
      <w:spacing w:val="10"/>
      <w:sz w:val="24"/>
      <w:szCs w:val="24"/>
      <w:lang w:eastAsia="en-US"/>
    </w:rPr>
  </w:style>
  <w:style w:type="character" w:customStyle="1" w:styleId="12">
    <w:name w:val="Основной текст + 12"/>
    <w:aliases w:val="5 pt"/>
    <w:basedOn w:val="a5"/>
    <w:rsid w:val="00ED5204"/>
    <w:rPr>
      <w:sz w:val="25"/>
      <w:szCs w:val="25"/>
    </w:rPr>
  </w:style>
  <w:style w:type="character" w:customStyle="1" w:styleId="13pt">
    <w:name w:val="Основной текст + 13 pt"/>
    <w:aliases w:val="Курсив,Интервал 0 pt"/>
    <w:basedOn w:val="a5"/>
    <w:rsid w:val="00ED5204"/>
    <w:rPr>
      <w:i/>
      <w:iCs/>
      <w:spacing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7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nbv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1795</Words>
  <Characters>10238</Characters>
  <Application>Microsoft Office Word</Application>
  <DocSecurity>0</DocSecurity>
  <Lines>85</Lines>
  <Paragraphs>24</Paragraphs>
  <ScaleCrop>false</ScaleCrop>
  <Company/>
  <LinksUpToDate>false</LinksUpToDate>
  <CharactersWithSpaces>12009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2014-12-29T10:21:00Z</dcterms:created>
  <dcterms:modified xsi:type="dcterms:W3CDTF">2015-04-29T08:09:00Z</dcterms:modified>
</cp:coreProperties>
</file>